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F4" w:rsidRDefault="009374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74F4" w:rsidRDefault="009374F4">
      <w:pPr>
        <w:pStyle w:val="ConsPlusNormal"/>
        <w:jc w:val="both"/>
        <w:outlineLvl w:val="0"/>
      </w:pPr>
    </w:p>
    <w:p w:rsidR="009374F4" w:rsidRDefault="009374F4">
      <w:pPr>
        <w:pStyle w:val="ConsPlusTitle"/>
        <w:jc w:val="center"/>
        <w:outlineLvl w:val="0"/>
      </w:pPr>
      <w:r>
        <w:t>ПРАВИТЕЛЬСТВО ЗАБАЙКАЛЬСКОГО КРАЯ</w:t>
      </w:r>
    </w:p>
    <w:p w:rsidR="009374F4" w:rsidRDefault="009374F4">
      <w:pPr>
        <w:pStyle w:val="ConsPlusTitle"/>
        <w:jc w:val="center"/>
      </w:pPr>
    </w:p>
    <w:p w:rsidR="009374F4" w:rsidRDefault="009374F4">
      <w:pPr>
        <w:pStyle w:val="ConsPlusTitle"/>
        <w:jc w:val="center"/>
      </w:pPr>
      <w:r>
        <w:t>ПОСТАНОВЛЕНИЕ</w:t>
      </w:r>
    </w:p>
    <w:p w:rsidR="009374F4" w:rsidRDefault="009374F4">
      <w:pPr>
        <w:pStyle w:val="ConsPlusTitle"/>
        <w:jc w:val="center"/>
      </w:pPr>
      <w:r>
        <w:t>от 12 апреля 2017 г. N 129</w:t>
      </w:r>
    </w:p>
    <w:p w:rsidR="009374F4" w:rsidRDefault="009374F4">
      <w:pPr>
        <w:pStyle w:val="ConsPlusTitle"/>
        <w:jc w:val="center"/>
      </w:pPr>
    </w:p>
    <w:p w:rsidR="009374F4" w:rsidRDefault="009374F4">
      <w:pPr>
        <w:pStyle w:val="ConsPlusTitle"/>
        <w:jc w:val="center"/>
      </w:pPr>
      <w:r>
        <w:t>ОБ УТВЕРЖДЕНИИ ПОЛОЖЕНИЯ О ПРОВЕДЕНИИ РЕГИОНАЛЬНОГО ЭТАПА</w:t>
      </w:r>
    </w:p>
    <w:p w:rsidR="009374F4" w:rsidRDefault="009374F4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9374F4" w:rsidRDefault="009374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37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4F4" w:rsidRDefault="009374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Забайкальского края</w:t>
            </w:r>
            <w:proofErr w:type="gramEnd"/>
          </w:p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23.01.2018 </w:t>
            </w:r>
            <w:hyperlink r:id="rId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05.06.2020 </w:t>
            </w:r>
            <w:hyperlink r:id="rId6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04.08.2020 </w:t>
            </w:r>
            <w:hyperlink r:id="rId7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8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20.07.2023 </w:t>
            </w:r>
            <w:hyperlink r:id="rId9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17.02.2025 </w:t>
            </w:r>
            <w:hyperlink r:id="rId10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</w:tr>
    </w:tbl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44</w:t>
        </w:r>
      </w:hyperlink>
      <w:r>
        <w:t xml:space="preserve"> Устава Забайкальского края, учитывая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2016 года N 815 "О Всероссийском конкурсе "Лучшая муниципальная практика", в целях выявления и отбора примеров лучших муниципальных практик Забайкальского края Правительство Забайкальского края постановляет:</w:t>
      </w: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проведении регионального этапа Всероссийского конкурса "Лучшая муниципальная практика" (прилагается).</w:t>
      </w: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9374F4" w:rsidRDefault="009374F4">
      <w:pPr>
        <w:pStyle w:val="ConsPlusNormal"/>
        <w:jc w:val="right"/>
      </w:pPr>
      <w:r>
        <w:t>Правительства Забайкальского края</w:t>
      </w:r>
    </w:p>
    <w:p w:rsidR="009374F4" w:rsidRDefault="009374F4">
      <w:pPr>
        <w:pStyle w:val="ConsPlusNormal"/>
        <w:jc w:val="right"/>
      </w:pPr>
      <w:r>
        <w:t>А.С.КУЛАКОВ</w:t>
      </w: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right"/>
        <w:outlineLvl w:val="0"/>
      </w:pPr>
      <w:r>
        <w:t>Утверждено</w:t>
      </w:r>
    </w:p>
    <w:p w:rsidR="009374F4" w:rsidRDefault="009374F4">
      <w:pPr>
        <w:pStyle w:val="ConsPlusNormal"/>
        <w:jc w:val="right"/>
      </w:pPr>
      <w:r>
        <w:t>постановлением Правительства</w:t>
      </w:r>
    </w:p>
    <w:p w:rsidR="009374F4" w:rsidRDefault="009374F4">
      <w:pPr>
        <w:pStyle w:val="ConsPlusNormal"/>
        <w:jc w:val="right"/>
      </w:pPr>
      <w:r>
        <w:t>Забайкальского края</w:t>
      </w:r>
    </w:p>
    <w:p w:rsidR="009374F4" w:rsidRDefault="009374F4">
      <w:pPr>
        <w:pStyle w:val="ConsPlusNormal"/>
        <w:jc w:val="right"/>
      </w:pPr>
      <w:r>
        <w:t>от 12 апреля 2017 г. N 129</w:t>
      </w: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Title"/>
        <w:jc w:val="center"/>
      </w:pPr>
      <w:bookmarkStart w:id="0" w:name="P30"/>
      <w:bookmarkEnd w:id="0"/>
      <w:r>
        <w:t>ПОЛОЖЕНИЕ</w:t>
      </w:r>
    </w:p>
    <w:p w:rsidR="009374F4" w:rsidRDefault="009374F4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9374F4" w:rsidRDefault="009374F4">
      <w:pPr>
        <w:pStyle w:val="ConsPlusTitle"/>
        <w:jc w:val="center"/>
      </w:pPr>
      <w:r>
        <w:t>"ЛУЧШАЯ МУНИЦИПАЛЬНАЯ ПРАКТИКА"</w:t>
      </w:r>
    </w:p>
    <w:p w:rsidR="009374F4" w:rsidRDefault="009374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37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4F4" w:rsidRDefault="009374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Забайкальского края</w:t>
            </w:r>
            <w:proofErr w:type="gramEnd"/>
          </w:p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23.01.2018 </w:t>
            </w:r>
            <w:hyperlink r:id="rId1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05.06.2020 </w:t>
            </w:r>
            <w:hyperlink r:id="rId14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04.08.2020 </w:t>
            </w:r>
            <w:hyperlink r:id="rId15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9374F4" w:rsidRDefault="00937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1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20.07.2023 </w:t>
            </w:r>
            <w:hyperlink r:id="rId17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17.02.2025 </w:t>
            </w:r>
            <w:hyperlink r:id="rId18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4F4" w:rsidRDefault="009374F4">
            <w:pPr>
              <w:pStyle w:val="ConsPlusNormal"/>
            </w:pPr>
          </w:p>
        </w:tc>
      </w:tr>
    </w:tbl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регионального этапа Всероссийского конкурса "Лучшая муниципальная практика" (далее - конкурс).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2. Конкурс организуется и проводится ежегодно в целях выявления и отбора в Забайкальском крае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</w:t>
      </w:r>
      <w:r>
        <w:lastRenderedPageBreak/>
        <w:t>муниципальных образований для последующего участия в федеральном этапе конкурса.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3. Конкурс проводится по следующим номинациям, отражающим практику организации муниципального управления и решения вопросов местного значения муниципальных образований (далее - номинации конкурса):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9374F4" w:rsidRDefault="009374F4">
      <w:pPr>
        <w:pStyle w:val="ConsPlusNormal"/>
        <w:jc w:val="both"/>
      </w:pPr>
      <w:r>
        <w:t xml:space="preserve">(пп. "г"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23.01.2018 N 35)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9374F4" w:rsidRDefault="009374F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04.08.2020 N 312)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4. В конкурсе вправе участвовать муниципальные и городские округа, городские и сельские поселения (далее - муниципальные образования), распределяемые по следующим категориям участников конкурса: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а) I категория - муниципальные и городские округа, городские поселения;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9374F4" w:rsidRDefault="009374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15.06.2021 N 201)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5. Организаторами конкурса являются: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а) Министерство строительства, дорожного хозяйства и транспорта Забайкальского края и Министерство жилищно-коммунального хозяйства, энергетики, цифровизации и связи Забайкальского края - по номинации "градостроительная политика, обеспечение благоприятной среды жизнедеятельности населения и развитие жилищно-коммунального хозяйства" конкурса;</w:t>
      </w:r>
    </w:p>
    <w:p w:rsidR="009374F4" w:rsidRDefault="009374F4">
      <w:pPr>
        <w:pStyle w:val="ConsPlusNormal"/>
        <w:jc w:val="both"/>
      </w:pPr>
      <w:r>
        <w:t xml:space="preserve">(в ред. Постановлений Правительства Забайкальского края от 05.06.2020 </w:t>
      </w:r>
      <w:hyperlink r:id="rId22">
        <w:r>
          <w:rPr>
            <w:color w:val="0000FF"/>
          </w:rPr>
          <w:t>N 190</w:t>
        </w:r>
      </w:hyperlink>
      <w:r>
        <w:t xml:space="preserve">, от 15.06.2021 </w:t>
      </w:r>
      <w:hyperlink r:id="rId23">
        <w:r>
          <w:rPr>
            <w:color w:val="0000FF"/>
          </w:rPr>
          <w:t>N 201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б) Министерство экономического развития Забайкальского края по согласованию с Министерством финансов Забайкальского края - по номинации "муниципальная экономическая политика и управление муниципальными финансами" конкурса;</w:t>
      </w:r>
    </w:p>
    <w:p w:rsidR="009374F4" w:rsidRDefault="009374F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15.06.2021 N 201)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в) Министерство развития гражданского общества, муниципальных образований и молодежной политики Забайкальского края -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конкурса;</w:t>
      </w:r>
    </w:p>
    <w:p w:rsidR="009374F4" w:rsidRDefault="009374F4">
      <w:pPr>
        <w:pStyle w:val="ConsPlusNormal"/>
        <w:jc w:val="both"/>
      </w:pPr>
      <w:r>
        <w:t xml:space="preserve">(в ред. Постановлений Правительства Забайкальского края от 15.06.2021 </w:t>
      </w:r>
      <w:hyperlink r:id="rId25">
        <w:r>
          <w:rPr>
            <w:color w:val="0000FF"/>
          </w:rPr>
          <w:t>N 201</w:t>
        </w:r>
      </w:hyperlink>
      <w:r>
        <w:t xml:space="preserve">, от 20.07.2023 </w:t>
      </w:r>
      <w:hyperlink r:id="rId26">
        <w:r>
          <w:rPr>
            <w:color w:val="0000FF"/>
          </w:rPr>
          <w:t>N 380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г) Министерство развития гражданского общества, муниципальных образований и молодежной политики Забайкальского края - по номинации "укрепление межнационального </w:t>
      </w:r>
      <w:r>
        <w:lastRenderedPageBreak/>
        <w:t>мира и согласия, реализация иных мероприятий в сфере национальной политики на муниципальном уровне" конкурса;</w:t>
      </w:r>
    </w:p>
    <w:p w:rsidR="009374F4" w:rsidRDefault="009374F4">
      <w:pPr>
        <w:pStyle w:val="ConsPlusNormal"/>
        <w:jc w:val="both"/>
      </w:pPr>
      <w:r>
        <w:t xml:space="preserve">(пп. "г"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23.01.2018 N 35; в ред. Постановлений Правительства Забайкальского края от 15.06.2021 </w:t>
      </w:r>
      <w:hyperlink r:id="rId28">
        <w:r>
          <w:rPr>
            <w:color w:val="0000FF"/>
          </w:rPr>
          <w:t>N 201</w:t>
        </w:r>
      </w:hyperlink>
      <w:r>
        <w:t xml:space="preserve">, от 20.07.2023 </w:t>
      </w:r>
      <w:hyperlink r:id="rId29">
        <w:r>
          <w:rPr>
            <w:color w:val="0000FF"/>
          </w:rPr>
          <w:t>N 380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д) Министерство жилищно-коммунального хозяйства, энергетики, цифровизации и связи Забайкальского края - по номинации "модернизация городского хозяйства посредством внедрения цифровых технологий и платформенных решений ("умный город")" конкурса.</w:t>
      </w:r>
    </w:p>
    <w:p w:rsidR="009374F4" w:rsidRDefault="009374F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04.08.2020 N 312;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15.06.2021 N 201)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6. Организаторы конкурса в соответствии с распределением между ними номинаций конкурса:</w:t>
      </w:r>
    </w:p>
    <w:p w:rsidR="009374F4" w:rsidRDefault="009374F4">
      <w:pPr>
        <w:pStyle w:val="ConsPlusNormal"/>
        <w:spacing w:before="220"/>
        <w:ind w:firstLine="540"/>
        <w:jc w:val="both"/>
      </w:pPr>
      <w:proofErr w:type="gramStart"/>
      <w:r>
        <w:t>а) осуществляют прием и рассмотрение конкурсных заявок муниципальных образований;</w:t>
      </w:r>
      <w:proofErr w:type="gramEnd"/>
    </w:p>
    <w:p w:rsidR="009374F4" w:rsidRDefault="009374F4">
      <w:pPr>
        <w:pStyle w:val="ConsPlusNormal"/>
        <w:spacing w:before="220"/>
        <w:ind w:firstLine="540"/>
        <w:jc w:val="both"/>
      </w:pPr>
      <w:r>
        <w:t>б) запрашивают в пределах своей компетенц</w:t>
      </w:r>
      <w:proofErr w:type="gramStart"/>
      <w:r>
        <w:t>ии у о</w:t>
      </w:r>
      <w:proofErr w:type="gramEnd"/>
      <w:r>
        <w:t>рганов государственной власти Забайкальского края, органов местного самоуправления, иных органов и организаций необходимые для рассмотрения и оценки конкурсных заявок документы, материалы и информацию, а также получают от органов местного самоуправления пояснения по представленным конкурсным заявкам муниципальных образований;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в) проводят проверки достоверности и действительности сведений, содержащихся в представленной конкурсной заявке муниципального образования, при необходимости привлекают независимых экспертов;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г) отклоняют конкурсную заявку муниципального образования;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д) осуществляют балльную оценку конкурсных заявок муниципальных образований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по соответствующим номинациям конкурса;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е) вносят предложения по определению победителей конкурса по номинациям конкурса и категориям участников конкурса;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ж) организуют подготовку конкурсных заявок муниципальных образований - победителей конкурса для участия в федеральном этапе конкурса;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з) обобщают и распространяют выявленные по итогам конкурса примеры лучшей муниципальной практики в Забайкальском крае.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7. Конкурсная заявка муниципального образования отклоняется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Информация об организации и проведении конкурса, включая методики оценки конкурсных заявок муниципальных образований и формы конкурсных заявок муниципальных образований, размещается на официальных сайтах организаторов конкурса в информационно-телекоммуникационной сети "Интернет" (далее - сеть "Интернет") и предоставляется Ассоциации "Совет муниципальных образований Забайкальского края" для обеспечения возможности размещения ею указанной информации на своем сайте в сети "Интернет".</w:t>
      </w:r>
      <w:proofErr w:type="gramEnd"/>
    </w:p>
    <w:p w:rsidR="009374F4" w:rsidRDefault="009374F4">
      <w:pPr>
        <w:pStyle w:val="ConsPlusNormal"/>
        <w:spacing w:before="220"/>
        <w:ind w:firstLine="540"/>
        <w:jc w:val="both"/>
      </w:pPr>
      <w:r>
        <w:lastRenderedPageBreak/>
        <w:t>9. Для участия в конкурсе муниципальные образования ежегодно в срок с 1 января до 30 мая представляют организаторам конкурса по соответствующим номинациям конкурса конкурсные заявки с учетом методик и форм, утвержденных уполномоченными федеральными органами исполнительной власти.</w:t>
      </w:r>
    </w:p>
    <w:p w:rsidR="009374F4" w:rsidRDefault="00937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Забайкальского края от 04.08.2020 </w:t>
      </w:r>
      <w:hyperlink r:id="rId32">
        <w:r>
          <w:rPr>
            <w:color w:val="0000FF"/>
          </w:rPr>
          <w:t>N 312</w:t>
        </w:r>
      </w:hyperlink>
      <w:r>
        <w:t xml:space="preserve">, от 17.02.2025 </w:t>
      </w:r>
      <w:hyperlink r:id="rId33">
        <w:r>
          <w:rPr>
            <w:color w:val="0000FF"/>
          </w:rPr>
          <w:t>N 63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Муниципальное образование вправе подавать конкурсные заявки по всем номинациям конкурса.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10. Для подведения итогов конкурса и определения его победителей создается региональная конкурсная комиссия (далее - комиссия).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11. Председателем комиссии является министр развития гражданского общества, муниципальных образований и молодежной политики Забайкальского края.</w:t>
      </w:r>
    </w:p>
    <w:p w:rsidR="009374F4" w:rsidRDefault="009374F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17.02.2025 N 63)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Председатель комиссии утверждает ее регламент и состав.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организаторов конкурса, иных исполнительных органов Забайкальского края, а также могут включаться по согласованию депутаты Законодательного Собрания Забайкальского края, представители Ассоциации "Совет муниципальных образований Забайкальского края", независимые эксперты.</w:t>
      </w:r>
    </w:p>
    <w:p w:rsidR="009374F4" w:rsidRDefault="009374F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20.07.2023 N 380)</w:t>
      </w:r>
    </w:p>
    <w:p w:rsidR="009374F4" w:rsidRDefault="009374F4">
      <w:pPr>
        <w:pStyle w:val="ConsPlusNormal"/>
        <w:spacing w:before="220"/>
        <w:ind w:firstLine="540"/>
        <w:jc w:val="both"/>
      </w:pPr>
      <w:bookmarkStart w:id="1" w:name="P83"/>
      <w:bookmarkEnd w:id="1"/>
      <w:r>
        <w:t>12. Организаторы конкурса по номинациям конкурса рассматривают конкурсные заявки муниципальных образований и вносят предложения по определению победителей конкурса по номинациям конкурса и категориям участников конкурса в комиссию до 30 июня текущего года.</w:t>
      </w:r>
    </w:p>
    <w:p w:rsidR="009374F4" w:rsidRDefault="00937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Забайкальского края от 04.08.2020 </w:t>
      </w:r>
      <w:hyperlink r:id="rId36">
        <w:r>
          <w:rPr>
            <w:color w:val="0000FF"/>
          </w:rPr>
          <w:t>N 312</w:t>
        </w:r>
      </w:hyperlink>
      <w:r>
        <w:t xml:space="preserve">, от 17.02.2025 </w:t>
      </w:r>
      <w:hyperlink r:id="rId37">
        <w:r>
          <w:rPr>
            <w:color w:val="0000FF"/>
          </w:rPr>
          <w:t>N 63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Комиссия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до 11 июля текущего года определяет муниципальные образования, в конкурсных материалах которых отражены примеры лучших муниципальных практик по соответствующим номинациям конкурса и категориям участников конкурса.</w:t>
      </w:r>
    </w:p>
    <w:p w:rsidR="009374F4" w:rsidRDefault="009374F4">
      <w:pPr>
        <w:pStyle w:val="ConsPlusNormal"/>
        <w:jc w:val="both"/>
      </w:pPr>
      <w:r>
        <w:t xml:space="preserve">(в ред. Постановлений Правительства Забайкальского края от 04.08.2020 </w:t>
      </w:r>
      <w:hyperlink r:id="rId38">
        <w:r>
          <w:rPr>
            <w:color w:val="0000FF"/>
          </w:rPr>
          <w:t>N 312</w:t>
        </w:r>
      </w:hyperlink>
      <w:r>
        <w:t xml:space="preserve">, от 15.06.2021 </w:t>
      </w:r>
      <w:hyperlink r:id="rId39">
        <w:r>
          <w:rPr>
            <w:color w:val="0000FF"/>
          </w:rPr>
          <w:t>N 201</w:t>
        </w:r>
      </w:hyperlink>
      <w:r>
        <w:t xml:space="preserve">, от 17.02.2025 </w:t>
      </w:r>
      <w:hyperlink r:id="rId40">
        <w:r>
          <w:rPr>
            <w:color w:val="0000FF"/>
          </w:rPr>
          <w:t>N 63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Организаторы конкурса по номинациям конкурса направляют заявки муниципальных образований - победителей на федеральный этап конкурса до 1 августа текущего года.</w:t>
      </w:r>
    </w:p>
    <w:p w:rsidR="009374F4" w:rsidRDefault="009374F4">
      <w:pPr>
        <w:pStyle w:val="ConsPlusNormal"/>
        <w:jc w:val="both"/>
      </w:pPr>
      <w:r>
        <w:t xml:space="preserve">(в ред. Постановлений Правительства Забайкальского края от 04.08.2020 </w:t>
      </w:r>
      <w:hyperlink r:id="rId41">
        <w:r>
          <w:rPr>
            <w:color w:val="0000FF"/>
          </w:rPr>
          <w:t>N 312</w:t>
        </w:r>
      </w:hyperlink>
      <w:r>
        <w:t xml:space="preserve">, от 17.02.2025 </w:t>
      </w:r>
      <w:hyperlink r:id="rId42">
        <w:r>
          <w:rPr>
            <w:color w:val="0000FF"/>
          </w:rPr>
          <w:t>N 63</w:t>
        </w:r>
      </w:hyperlink>
      <w:r>
        <w:t>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13. Подведение итогов конкурса, определенных в соответствии с </w:t>
      </w:r>
      <w:hyperlink w:anchor="P83">
        <w:r>
          <w:rPr>
            <w:color w:val="0000FF"/>
          </w:rPr>
          <w:t>пунктом 12</w:t>
        </w:r>
      </w:hyperlink>
      <w:r>
        <w:t xml:space="preserve"> настоящего Положения, оформляется решением комиссии.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14. Конкурсные заявки муниципальных образований - победителей конкурса в количестве, определенном для Забайкальского края, в соответствии с </w:t>
      </w:r>
      <w:hyperlink r:id="rId43">
        <w:r>
          <w:rPr>
            <w:color w:val="0000FF"/>
          </w:rPr>
          <w:t>пунктом 7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года N 815 "О Всероссийском конкурсе "Лучшая муниципальная практика", отбираются комиссией в порядке убывания занятых призовых мест.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>15. Исполнительные органы Забайкальского края,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конкурсе.</w:t>
      </w:r>
    </w:p>
    <w:p w:rsidR="009374F4" w:rsidRDefault="009374F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20.07.2023 N 380)</w:t>
      </w:r>
    </w:p>
    <w:p w:rsidR="009374F4" w:rsidRDefault="009374F4">
      <w:pPr>
        <w:pStyle w:val="ConsPlusNormal"/>
        <w:spacing w:before="220"/>
        <w:ind w:firstLine="540"/>
        <w:jc w:val="both"/>
      </w:pPr>
      <w:r>
        <w:t xml:space="preserve">16. Примеры лучшей муниципальной практики в Забайкальском крае размещаются на </w:t>
      </w:r>
      <w:r>
        <w:lastRenderedPageBreak/>
        <w:t>официальных сайтах организаторов конкурса в сети "Интернет".</w:t>
      </w: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jc w:val="both"/>
      </w:pPr>
    </w:p>
    <w:p w:rsidR="009374F4" w:rsidRDefault="009374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00C" w:rsidRDefault="006E100C"/>
    <w:sectPr w:rsidR="006E100C" w:rsidSect="004E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74F4"/>
    <w:rsid w:val="006E100C"/>
    <w:rsid w:val="0093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7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0791&amp;dst=100005" TargetMode="External"/><Relationship Id="rId13" Type="http://schemas.openxmlformats.org/officeDocument/2006/relationships/hyperlink" Target="https://login.consultant.ru/link/?req=doc&amp;base=RLAW251&amp;n=1644084&amp;dst=100005" TargetMode="External"/><Relationship Id="rId18" Type="http://schemas.openxmlformats.org/officeDocument/2006/relationships/hyperlink" Target="https://login.consultant.ru/link/?req=doc&amp;base=RLAW251&amp;n=1678108&amp;dst=100005" TargetMode="External"/><Relationship Id="rId26" Type="http://schemas.openxmlformats.org/officeDocument/2006/relationships/hyperlink" Target="https://login.consultant.ru/link/?req=doc&amp;base=RLAW251&amp;n=1670326&amp;dst=100007" TargetMode="External"/><Relationship Id="rId39" Type="http://schemas.openxmlformats.org/officeDocument/2006/relationships/hyperlink" Target="https://login.consultant.ru/link/?req=doc&amp;base=RLAW251&amp;n=1660791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60791&amp;dst=100006" TargetMode="External"/><Relationship Id="rId34" Type="http://schemas.openxmlformats.org/officeDocument/2006/relationships/hyperlink" Target="https://login.consultant.ru/link/?req=doc&amp;base=RLAW251&amp;n=1678108&amp;dst=100007" TargetMode="External"/><Relationship Id="rId42" Type="http://schemas.openxmlformats.org/officeDocument/2006/relationships/hyperlink" Target="https://login.consultant.ru/link/?req=doc&amp;base=RLAW251&amp;n=1678108&amp;dst=100012" TargetMode="External"/><Relationship Id="rId7" Type="http://schemas.openxmlformats.org/officeDocument/2006/relationships/hyperlink" Target="https://login.consultant.ru/link/?req=doc&amp;base=RLAW251&amp;n=1656957&amp;dst=100005" TargetMode="External"/><Relationship Id="rId12" Type="http://schemas.openxmlformats.org/officeDocument/2006/relationships/hyperlink" Target="https://login.consultant.ru/link/?req=doc&amp;base=LAW&amp;n=490482&amp;dst=100030" TargetMode="External"/><Relationship Id="rId17" Type="http://schemas.openxmlformats.org/officeDocument/2006/relationships/hyperlink" Target="https://login.consultant.ru/link/?req=doc&amp;base=RLAW251&amp;n=1670326&amp;dst=100005" TargetMode="External"/><Relationship Id="rId25" Type="http://schemas.openxmlformats.org/officeDocument/2006/relationships/hyperlink" Target="https://login.consultant.ru/link/?req=doc&amp;base=RLAW251&amp;n=1660791&amp;dst=100013" TargetMode="External"/><Relationship Id="rId33" Type="http://schemas.openxmlformats.org/officeDocument/2006/relationships/hyperlink" Target="https://login.consultant.ru/link/?req=doc&amp;base=RLAW251&amp;n=1678108&amp;dst=100006" TargetMode="External"/><Relationship Id="rId38" Type="http://schemas.openxmlformats.org/officeDocument/2006/relationships/hyperlink" Target="https://login.consultant.ru/link/?req=doc&amp;base=RLAW251&amp;n=1656957&amp;dst=10001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60791&amp;dst=100005" TargetMode="External"/><Relationship Id="rId20" Type="http://schemas.openxmlformats.org/officeDocument/2006/relationships/hyperlink" Target="https://login.consultant.ru/link/?req=doc&amp;base=RLAW251&amp;n=1656957&amp;dst=100006" TargetMode="External"/><Relationship Id="rId29" Type="http://schemas.openxmlformats.org/officeDocument/2006/relationships/hyperlink" Target="https://login.consultant.ru/link/?req=doc&amp;base=RLAW251&amp;n=1670326&amp;dst=100008" TargetMode="External"/><Relationship Id="rId41" Type="http://schemas.openxmlformats.org/officeDocument/2006/relationships/hyperlink" Target="https://login.consultant.ru/link/?req=doc&amp;base=RLAW251&amp;n=1656957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56296&amp;dst=100005" TargetMode="External"/><Relationship Id="rId11" Type="http://schemas.openxmlformats.org/officeDocument/2006/relationships/hyperlink" Target="https://login.consultant.ru/link/?req=doc&amp;base=RLAW251&amp;n=1670077&amp;dst=100285" TargetMode="External"/><Relationship Id="rId24" Type="http://schemas.openxmlformats.org/officeDocument/2006/relationships/hyperlink" Target="https://login.consultant.ru/link/?req=doc&amp;base=RLAW251&amp;n=1660791&amp;dst=100012" TargetMode="External"/><Relationship Id="rId32" Type="http://schemas.openxmlformats.org/officeDocument/2006/relationships/hyperlink" Target="https://login.consultant.ru/link/?req=doc&amp;base=RLAW251&amp;n=1656957&amp;dst=100010" TargetMode="External"/><Relationship Id="rId37" Type="http://schemas.openxmlformats.org/officeDocument/2006/relationships/hyperlink" Target="https://login.consultant.ru/link/?req=doc&amp;base=RLAW251&amp;n=1678108&amp;dst=100010" TargetMode="External"/><Relationship Id="rId40" Type="http://schemas.openxmlformats.org/officeDocument/2006/relationships/hyperlink" Target="https://login.consultant.ru/link/?req=doc&amp;base=RLAW251&amp;n=1678108&amp;dst=10001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44084&amp;dst=100005" TargetMode="External"/><Relationship Id="rId15" Type="http://schemas.openxmlformats.org/officeDocument/2006/relationships/hyperlink" Target="https://login.consultant.ru/link/?req=doc&amp;base=RLAW251&amp;n=1656957&amp;dst=100005" TargetMode="External"/><Relationship Id="rId23" Type="http://schemas.openxmlformats.org/officeDocument/2006/relationships/hyperlink" Target="https://login.consultant.ru/link/?req=doc&amp;base=RLAW251&amp;n=1660791&amp;dst=100011" TargetMode="External"/><Relationship Id="rId28" Type="http://schemas.openxmlformats.org/officeDocument/2006/relationships/hyperlink" Target="https://login.consultant.ru/link/?req=doc&amp;base=RLAW251&amp;n=1660791&amp;dst=100014" TargetMode="External"/><Relationship Id="rId36" Type="http://schemas.openxmlformats.org/officeDocument/2006/relationships/hyperlink" Target="https://login.consultant.ru/link/?req=doc&amp;base=RLAW251&amp;n=1656957&amp;dst=100012" TargetMode="External"/><Relationship Id="rId10" Type="http://schemas.openxmlformats.org/officeDocument/2006/relationships/hyperlink" Target="https://login.consultant.ru/link/?req=doc&amp;base=RLAW251&amp;n=1678108&amp;dst=100005" TargetMode="External"/><Relationship Id="rId19" Type="http://schemas.openxmlformats.org/officeDocument/2006/relationships/hyperlink" Target="https://login.consultant.ru/link/?req=doc&amp;base=RLAW251&amp;n=1644084&amp;dst=100006" TargetMode="External"/><Relationship Id="rId31" Type="http://schemas.openxmlformats.org/officeDocument/2006/relationships/hyperlink" Target="https://login.consultant.ru/link/?req=doc&amp;base=RLAW251&amp;n=1660791&amp;dst=100015" TargetMode="External"/><Relationship Id="rId44" Type="http://schemas.openxmlformats.org/officeDocument/2006/relationships/hyperlink" Target="https://login.consultant.ru/link/?req=doc&amp;base=RLAW251&amp;n=1670326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70326&amp;dst=100005" TargetMode="External"/><Relationship Id="rId14" Type="http://schemas.openxmlformats.org/officeDocument/2006/relationships/hyperlink" Target="https://login.consultant.ru/link/?req=doc&amp;base=RLAW251&amp;n=1656296&amp;dst=100005" TargetMode="External"/><Relationship Id="rId22" Type="http://schemas.openxmlformats.org/officeDocument/2006/relationships/hyperlink" Target="https://login.consultant.ru/link/?req=doc&amp;base=RLAW251&amp;n=1656296&amp;dst=100005" TargetMode="External"/><Relationship Id="rId27" Type="http://schemas.openxmlformats.org/officeDocument/2006/relationships/hyperlink" Target="https://login.consultant.ru/link/?req=doc&amp;base=RLAW251&amp;n=1644084&amp;dst=100008" TargetMode="External"/><Relationship Id="rId30" Type="http://schemas.openxmlformats.org/officeDocument/2006/relationships/hyperlink" Target="https://login.consultant.ru/link/?req=doc&amp;base=RLAW251&amp;n=1656957&amp;dst=100008" TargetMode="External"/><Relationship Id="rId35" Type="http://schemas.openxmlformats.org/officeDocument/2006/relationships/hyperlink" Target="https://login.consultant.ru/link/?req=doc&amp;base=RLAW251&amp;n=1670326&amp;dst=100012" TargetMode="External"/><Relationship Id="rId43" Type="http://schemas.openxmlformats.org/officeDocument/2006/relationships/hyperlink" Target="https://login.consultant.ru/link/?req=doc&amp;base=LAW&amp;n=490482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SuranovaNR</dc:creator>
  <cp:lastModifiedBy>SuranovaNR</cp:lastModifiedBy>
  <cp:revision>1</cp:revision>
  <dcterms:created xsi:type="dcterms:W3CDTF">2025-04-24T07:18:00Z</dcterms:created>
  <dcterms:modified xsi:type="dcterms:W3CDTF">2025-04-24T07:19:00Z</dcterms:modified>
</cp:coreProperties>
</file>