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5" w:rsidRPr="00AA36BF" w:rsidRDefault="00687E45" w:rsidP="00687E45">
      <w:pPr>
        <w:pStyle w:val="2"/>
        <w:ind w:firstLine="0"/>
        <w:jc w:val="center"/>
        <w:rPr>
          <w:b/>
          <w:shadow/>
          <w:szCs w:val="28"/>
        </w:rPr>
      </w:pPr>
      <w:r w:rsidRPr="00AA36BF">
        <w:rPr>
          <w:b/>
          <w:shadow/>
          <w:szCs w:val="28"/>
        </w:rPr>
        <w:t>Информация</w:t>
      </w:r>
    </w:p>
    <w:p w:rsidR="00687E45" w:rsidRPr="00AA36BF" w:rsidRDefault="00687E45" w:rsidP="00687E45">
      <w:pPr>
        <w:pStyle w:val="2"/>
        <w:ind w:firstLine="0"/>
        <w:jc w:val="center"/>
        <w:rPr>
          <w:b/>
          <w:shadow/>
          <w:szCs w:val="28"/>
        </w:rPr>
      </w:pPr>
      <w:r w:rsidRPr="00AA36BF">
        <w:rPr>
          <w:b/>
          <w:shadow/>
          <w:szCs w:val="28"/>
        </w:rPr>
        <w:t xml:space="preserve">о рассмотрении </w:t>
      </w:r>
      <w:proofErr w:type="gramStart"/>
      <w:r w:rsidRPr="00AA36BF">
        <w:rPr>
          <w:b/>
          <w:shadow/>
          <w:szCs w:val="28"/>
        </w:rPr>
        <w:t>поступивших</w:t>
      </w:r>
      <w:proofErr w:type="gramEnd"/>
      <w:r w:rsidRPr="00AA36BF">
        <w:rPr>
          <w:b/>
          <w:shadow/>
          <w:szCs w:val="28"/>
        </w:rPr>
        <w:t xml:space="preserve"> </w:t>
      </w:r>
    </w:p>
    <w:p w:rsidR="00687E45" w:rsidRPr="00AA36BF" w:rsidRDefault="00DE1EEE" w:rsidP="00687E45">
      <w:pPr>
        <w:pStyle w:val="2"/>
        <w:ind w:firstLine="0"/>
        <w:jc w:val="center"/>
        <w:rPr>
          <w:b/>
          <w:shadow/>
          <w:szCs w:val="28"/>
        </w:rPr>
      </w:pPr>
      <w:r>
        <w:rPr>
          <w:b/>
          <w:shadow/>
          <w:szCs w:val="28"/>
        </w:rPr>
        <w:t xml:space="preserve">во </w:t>
      </w:r>
      <w:r w:rsidR="004009BB" w:rsidRPr="00AA36BF">
        <w:rPr>
          <w:b/>
          <w:shadow/>
          <w:szCs w:val="28"/>
          <w:lang w:val="en-US"/>
        </w:rPr>
        <w:t>I</w:t>
      </w:r>
      <w:r>
        <w:rPr>
          <w:b/>
          <w:shadow/>
          <w:szCs w:val="28"/>
          <w:lang w:val="en-US"/>
        </w:rPr>
        <w:t>I</w:t>
      </w:r>
      <w:r w:rsidR="00687E45" w:rsidRPr="00AA36BF">
        <w:rPr>
          <w:b/>
          <w:shadow/>
          <w:szCs w:val="28"/>
        </w:rPr>
        <w:t xml:space="preserve"> квартале 202</w:t>
      </w:r>
      <w:r w:rsidR="00095F5A" w:rsidRPr="00AA36BF">
        <w:rPr>
          <w:b/>
          <w:shadow/>
          <w:szCs w:val="28"/>
        </w:rPr>
        <w:t>2</w:t>
      </w:r>
      <w:r w:rsidR="00687E45" w:rsidRPr="00AA36BF">
        <w:rPr>
          <w:b/>
          <w:shadow/>
          <w:szCs w:val="28"/>
        </w:rPr>
        <w:t xml:space="preserve"> года обращений граждан 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1A6223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5B3CC5"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</w:t>
      </w:r>
      <w:r w:rsidR="00DE1E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F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667F89" w:rsidRPr="007F04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0459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67F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7F0459" w:rsidRPr="007F0459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667F89" w:rsidRPr="007F04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719" w:rsidRPr="001A6223" w:rsidRDefault="00A6071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38344" cy="296917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67E9" w:rsidRPr="00EC2DE7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67F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0459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зарегистрированных в </w:t>
      </w:r>
      <w:r w:rsidR="007A2B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459">
        <w:rPr>
          <w:rFonts w:ascii="Times New Roman" w:eastAsia="Times New Roman" w:hAnsi="Times New Roman" w:cs="Times New Roman"/>
          <w:sz w:val="28"/>
          <w:szCs w:val="28"/>
          <w:lang w:eastAsia="ru-RU"/>
        </w:rPr>
        <w:t>704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B62D7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</w:p>
    <w:p w:rsidR="003D35A4" w:rsidRDefault="0041001F" w:rsidP="0041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B107A" wp14:editId="0D440844">
            <wp:extent cx="5896304" cy="222819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35A4" w:rsidRDefault="003D35A4" w:rsidP="0041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98" w:rsidRDefault="003D35A4" w:rsidP="00AC3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оллективных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E1E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было </w:t>
      </w:r>
      <w:r w:rsidR="007F045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F89" w:rsidRPr="007F04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432" w:rsidRPr="007F045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числа. Основными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 являлись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8F2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содержания </w:t>
      </w:r>
      <w:r w:rsidR="008F2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</w:t>
      </w:r>
      <w:r w:rsidR="009E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районах края</w:t>
      </w:r>
      <w:r w:rsidR="008F2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8F2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</w:t>
      </w:r>
      <w:r w:rsidR="008F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и содержания дорог, обследования жилья на пригодность для проживания, переселения из аварийного жилого фонда, </w:t>
      </w:r>
      <w:r w:rsidR="008F2A98">
        <w:rPr>
          <w:rFonts w:ascii="Times New Roman" w:hAnsi="Times New Roman" w:cs="Times New Roman"/>
          <w:sz w:val="28"/>
          <w:szCs w:val="28"/>
        </w:rPr>
        <w:t>капитального ремонта общего имущества, предоставления коммунальных услуг,</w:t>
      </w:r>
      <w:r w:rsidR="008F2A98" w:rsidRPr="008F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</w:t>
      </w:r>
      <w:r w:rsidR="004B1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F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 w:rsidR="004B18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жителей, </w:t>
      </w:r>
      <w:r w:rsidR="008F2A98">
        <w:rPr>
          <w:rFonts w:ascii="Times New Roman" w:hAnsi="Times New Roman" w:cs="Times New Roman"/>
          <w:sz w:val="28"/>
          <w:szCs w:val="28"/>
        </w:rPr>
        <w:t>деятельност</w:t>
      </w:r>
      <w:r w:rsidR="004B1878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F2A98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исполнительно-распорядительных органов местного самоуправления и др.</w:t>
      </w:r>
    </w:p>
    <w:p w:rsidR="00EC2DE7" w:rsidRDefault="00EC2DE7" w:rsidP="00A6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BF" w:rsidRDefault="00AA36BF" w:rsidP="0034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5A" w:rsidRDefault="00095F5A" w:rsidP="00AA3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551EF2" wp14:editId="6E9103C0">
            <wp:extent cx="5927834" cy="297442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19C3" w:rsidRDefault="00D20005" w:rsidP="00D200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4F79" w:rsidRPr="00774F79">
        <w:rPr>
          <w:rFonts w:ascii="Times New Roman" w:hAnsi="Times New Roman" w:cs="Times New Roman"/>
          <w:sz w:val="28"/>
          <w:szCs w:val="28"/>
        </w:rPr>
        <w:t>четвертом</w:t>
      </w:r>
      <w:r w:rsidR="00AC37E9"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E19C3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EE0F7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B1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защита пострадавших от стихийных бедствий и чрезвычайных ситуаций (навод</w:t>
      </w:r>
      <w:r w:rsidR="006E6C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17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E6C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0F7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материальная помощь и меры социальной поддержки (льготы)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="00EE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выплаты </w:t>
      </w:r>
      <w:r w:rsidR="006E6C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имеющим детей</w:t>
      </w:r>
      <w:r w:rsidR="00AA3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9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 оказание медицинской помощи</w:t>
      </w:r>
      <w:r w:rsidR="009E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0E19C3" w:rsidRPr="00AC37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550FB" w:rsidRDefault="001550FB" w:rsidP="00D20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734B6B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 w:rsidR="0073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734B6B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 w:rsidR="0073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C98">
        <w:t xml:space="preserve"> </w:t>
      </w:r>
      <w:r w:rsidR="00B1174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</w:t>
      </w:r>
      <w:r w:rsidR="00B11747" w:rsidRPr="0022515D">
        <w:rPr>
          <w:rFonts w:ascii="Times New Roman" w:hAnsi="Times New Roman" w:cs="Times New Roman"/>
          <w:sz w:val="28"/>
          <w:szCs w:val="28"/>
        </w:rPr>
        <w:t xml:space="preserve"> </w:t>
      </w:r>
      <w:r w:rsidR="00B11747">
        <w:rPr>
          <w:rFonts w:ascii="Times New Roman" w:hAnsi="Times New Roman" w:cs="Times New Roman"/>
          <w:sz w:val="28"/>
          <w:szCs w:val="28"/>
        </w:rPr>
        <w:t xml:space="preserve">об </w:t>
      </w:r>
      <w:r w:rsidR="0022515D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</w:t>
      </w:r>
      <w:r w:rsidR="00B117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515D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условий, предоставлени</w:t>
      </w:r>
      <w:r w:rsidR="00225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515D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найма, обследовани</w:t>
      </w:r>
      <w:r w:rsidR="00225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515D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фонда на предмет пригодности для проживания (ветхое и аварийное жилье</w:t>
      </w:r>
      <w:r w:rsidR="00B1174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1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747" w:rsidRPr="00B11747">
        <w:rPr>
          <w:rFonts w:ascii="Times New Roman" w:hAnsi="Times New Roman" w:cs="Times New Roman"/>
          <w:sz w:val="28"/>
          <w:szCs w:val="28"/>
        </w:rPr>
        <w:t xml:space="preserve"> </w:t>
      </w:r>
      <w:r w:rsidR="00B11747">
        <w:rPr>
          <w:rFonts w:ascii="Times New Roman" w:hAnsi="Times New Roman" w:cs="Times New Roman"/>
          <w:sz w:val="28"/>
          <w:szCs w:val="28"/>
        </w:rPr>
        <w:t>ремонта многоквартирных домов</w:t>
      </w:r>
      <w:r w:rsidR="00B1174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остры</w:t>
      </w:r>
      <w:r w:rsidR="00225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 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2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жилье в обращениях детей-сирот и детей, оставшихся без попечения родителей.</w:t>
      </w:r>
      <w:r w:rsidR="00734B6B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15D">
        <w:rPr>
          <w:rFonts w:ascii="Times New Roman" w:hAnsi="Times New Roman" w:cs="Times New Roman"/>
          <w:sz w:val="28"/>
          <w:szCs w:val="28"/>
        </w:rPr>
        <w:t>Д</w:t>
      </w:r>
      <w:r w:rsidR="0022515D" w:rsidRPr="00E364AE">
        <w:rPr>
          <w:rFonts w:ascii="Times New Roman" w:hAnsi="Times New Roman" w:cs="Times New Roman"/>
          <w:sz w:val="28"/>
          <w:szCs w:val="28"/>
        </w:rPr>
        <w:t xml:space="preserve">алее следуют </w:t>
      </w:r>
      <w:r w:rsidR="0022515D">
        <w:rPr>
          <w:rFonts w:ascii="Times New Roman" w:hAnsi="Times New Roman" w:cs="Times New Roman"/>
          <w:sz w:val="28"/>
          <w:szCs w:val="28"/>
        </w:rPr>
        <w:t>вопросы предоставления коммунальных услуг, работы управляющих компаний.</w:t>
      </w:r>
      <w:r w:rsidR="0022515D" w:rsidRPr="009675D0">
        <w:t xml:space="preserve"> </w:t>
      </w:r>
      <w:r w:rsidR="0022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D39" w:rsidRDefault="001550FB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="008F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8F5D3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F5D3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734B6B" w:rsidRPr="00A3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«Экономика»</w:t>
      </w:r>
      <w:r w:rsidR="00A6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многочисленными были вопросы хозяйственной деятельности (строительство объектов социальной сферы: </w:t>
      </w:r>
      <w:r w:rsidR="008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учреждений, </w:t>
      </w:r>
      <w:r w:rsidR="00A6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школ, детских садов, спортивных залов; градостроительство и архитектура: комплексное благоустройство, благоустройство мест детского отдыха, уборка мусора; </w:t>
      </w:r>
      <w:proofErr w:type="gramStart"/>
      <w:r w:rsid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поселений, </w:t>
      </w:r>
      <w:r w:rsidR="00A6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пассажирское обслуживание населения, ремонт дорог, строительство и </w:t>
      </w:r>
      <w:r w:rsidR="00A67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ремонт мостов, </w:t>
      </w:r>
      <w:r w:rsid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транспортной инфраструктуры, предоставлени</w:t>
      </w:r>
      <w:r w:rsidR="00895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связи и Интернета в сельских населенных пунктах, оказание услуг почтовой связи гуманное отношение к животным), а также вопросы </w:t>
      </w:r>
      <w:r w:rsidR="00A67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 и охраны окружающей природной среды</w:t>
      </w:r>
      <w:r w:rsidR="00A36D28" w:rsidRP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 лесов,</w:t>
      </w:r>
      <w:r w:rsidR="00A36D28" w:rsidRP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последствий наводнений  и других стихийных бедствий, предупреждений чрезвычайных ситуаций природного характера</w:t>
      </w:r>
      <w:r w:rsidR="00A67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6D28" w:rsidRDefault="00A36D28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410FCF" w:rsidRDefault="00410FCF" w:rsidP="00410F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10FC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Таблица 1</w:t>
      </w:r>
    </w:p>
    <w:tbl>
      <w:tblPr>
        <w:tblW w:w="9590" w:type="dxa"/>
        <w:jc w:val="center"/>
        <w:tblInd w:w="8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6000"/>
        <w:gridCol w:w="1523"/>
        <w:gridCol w:w="1548"/>
      </w:tblGrid>
      <w:tr w:rsidR="00D80D3D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410FCF" w:rsidRDefault="00D80D3D" w:rsidP="0041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410FCF" w:rsidRDefault="00D80D3D" w:rsidP="00410FCF">
            <w:pPr>
              <w:spacing w:after="0" w:line="240" w:lineRule="auto"/>
              <w:ind w:left="141"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FCF" w:rsidRPr="00410FCF" w:rsidRDefault="00D80D3D" w:rsidP="00410FCF">
            <w:pPr>
              <w:spacing w:after="0" w:line="240" w:lineRule="auto"/>
              <w:ind w:left="123" w:righ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Количе</w:t>
            </w:r>
            <w:r w:rsidR="001633CF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ство </w:t>
            </w:r>
            <w:r w:rsid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вопросов</w:t>
            </w:r>
          </w:p>
          <w:p w:rsidR="00D80D3D" w:rsidRPr="00410FCF" w:rsidRDefault="001633CF" w:rsidP="00410FCF">
            <w:pPr>
              <w:spacing w:after="0" w:line="240" w:lineRule="auto"/>
              <w:ind w:left="123"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</w:t>
            </w:r>
            <w:r w:rsidR="00DE1EE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</w:t>
            </w:r>
            <w:r w:rsidR="00EC2DE7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DE1EE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="00EF5BCC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квартале 20</w:t>
            </w:r>
            <w:r w:rsidR="00704E3F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="00410FCF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="00410923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года</w:t>
            </w:r>
            <w:proofErr w:type="gramStart"/>
            <w:r w:rsidR="004845C6" w:rsidRPr="00410F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D80D3D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(%)</w:t>
            </w:r>
            <w:proofErr w:type="gramEnd"/>
          </w:p>
        </w:tc>
      </w:tr>
      <w:tr w:rsidR="00410FCF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FCF" w:rsidRPr="00410FCF" w:rsidRDefault="00410FCF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FCF" w:rsidRPr="00A676F4" w:rsidRDefault="00410FCF" w:rsidP="00410FCF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410FCF" w:rsidRPr="00895645" w:rsidRDefault="00895645" w:rsidP="00410FCF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  <w:r w:rsidR="00410FCF"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410FCF" w:rsidRPr="00895645" w:rsidRDefault="00410FCF" w:rsidP="00410FCF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(38)</w:t>
            </w:r>
          </w:p>
        </w:tc>
      </w:tr>
      <w:tr w:rsidR="00BA381A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410FCF" w:rsidRDefault="00BA381A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BA381A" w:rsidRPr="00895645" w:rsidRDefault="00895645" w:rsidP="00410FCF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381A"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BA381A" w:rsidRPr="00895645" w:rsidRDefault="00BA381A" w:rsidP="00895645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95645"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81A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410FCF" w:rsidRDefault="00BA381A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BA381A" w:rsidRPr="00895645" w:rsidRDefault="00BA381A" w:rsidP="00895645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BA381A" w:rsidRPr="00895645" w:rsidRDefault="00BA381A" w:rsidP="00410FCF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</w:tc>
      </w:tr>
      <w:tr w:rsidR="00BA381A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410FCF" w:rsidRDefault="00BA381A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72A0B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BA381A" w:rsidRPr="00895645" w:rsidRDefault="00BA381A" w:rsidP="00895645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BA381A" w:rsidRPr="00895645" w:rsidRDefault="00BA381A" w:rsidP="00895645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95645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645" w:rsidRPr="00410FCF" w:rsidRDefault="00895645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645" w:rsidRPr="00A676F4" w:rsidRDefault="00895645" w:rsidP="004F0572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895645" w:rsidRPr="00895645" w:rsidRDefault="00895645" w:rsidP="00895645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95645" w:rsidRPr="00895645" w:rsidRDefault="00895645" w:rsidP="00895645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95645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645" w:rsidRPr="00410FCF" w:rsidRDefault="00895645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645" w:rsidRPr="00A676F4" w:rsidRDefault="00895645" w:rsidP="00472A0B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Нерчинский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895645" w:rsidRPr="00895645" w:rsidRDefault="00895645" w:rsidP="00895645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95645" w:rsidRPr="00895645" w:rsidRDefault="00895645" w:rsidP="00895645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</w:t>
            </w:r>
          </w:p>
        </w:tc>
      </w:tr>
      <w:tr w:rsidR="00895645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645" w:rsidRPr="00410FCF" w:rsidRDefault="00895645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645" w:rsidRDefault="00895645" w:rsidP="00472A0B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 и Краснокаменский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895645" w:rsidRDefault="00895645" w:rsidP="00895645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95645" w:rsidRDefault="00895645" w:rsidP="00895645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</w:p>
        </w:tc>
      </w:tr>
      <w:tr w:rsidR="00895645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645" w:rsidRPr="00410FCF" w:rsidRDefault="00895645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645" w:rsidRPr="00A676F4" w:rsidRDefault="00895645" w:rsidP="00410FCF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5645" w:rsidRPr="00895645" w:rsidRDefault="00895645" w:rsidP="00895645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95645" w:rsidRPr="00895645" w:rsidRDefault="00895645" w:rsidP="00895645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95645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645" w:rsidRPr="00410FCF" w:rsidRDefault="00895645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645" w:rsidRPr="00A676F4" w:rsidRDefault="00895645" w:rsidP="007013AD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других регионов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895645" w:rsidRPr="00895645" w:rsidRDefault="00895645" w:rsidP="007013AD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95645" w:rsidRPr="00895645" w:rsidRDefault="00895645" w:rsidP="00895645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9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71744" w:rsidRPr="00A36D28" w:rsidRDefault="00F71744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670A7" w:rsidRPr="00A36D28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</w:t>
      </w:r>
      <w:r w:rsidR="00BA3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были </w:t>
      </w:r>
      <w:r w:rsidRPr="00A3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892309" w:rsidRPr="00A36D28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</w:t>
      </w:r>
    </w:p>
    <w:sectPr w:rsidR="00892309" w:rsidRPr="00A36D28" w:rsidSect="00A36D28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0F" w:rsidRDefault="00E1670F" w:rsidP="00A36D28">
      <w:pPr>
        <w:spacing w:after="0" w:line="240" w:lineRule="auto"/>
      </w:pPr>
      <w:r>
        <w:separator/>
      </w:r>
    </w:p>
  </w:endnote>
  <w:endnote w:type="continuationSeparator" w:id="0">
    <w:p w:rsidR="00E1670F" w:rsidRDefault="00E1670F" w:rsidP="00A3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0F" w:rsidRDefault="00E1670F" w:rsidP="00A36D28">
      <w:pPr>
        <w:spacing w:after="0" w:line="240" w:lineRule="auto"/>
      </w:pPr>
      <w:r>
        <w:separator/>
      </w:r>
    </w:p>
  </w:footnote>
  <w:footnote w:type="continuationSeparator" w:id="0">
    <w:p w:rsidR="00E1670F" w:rsidRDefault="00E1670F" w:rsidP="00A3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294679817"/>
      <w:docPartObj>
        <w:docPartGallery w:val="Page Numbers (Top of Page)"/>
        <w:docPartUnique/>
      </w:docPartObj>
    </w:sdtPr>
    <w:sdtEndPr/>
    <w:sdtContent>
      <w:p w:rsidR="00A36D28" w:rsidRPr="00A36D28" w:rsidRDefault="00A36D2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6D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6D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6D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18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6D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6D28" w:rsidRDefault="00A36D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BBE"/>
    <w:multiLevelType w:val="hybridMultilevel"/>
    <w:tmpl w:val="4D4CC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1A8"/>
    <w:rsid w:val="000055D3"/>
    <w:rsid w:val="0001106C"/>
    <w:rsid w:val="0001200B"/>
    <w:rsid w:val="0001651D"/>
    <w:rsid w:val="00024536"/>
    <w:rsid w:val="00024B87"/>
    <w:rsid w:val="00032991"/>
    <w:rsid w:val="0003719A"/>
    <w:rsid w:val="00037B0C"/>
    <w:rsid w:val="000404DE"/>
    <w:rsid w:val="000502D7"/>
    <w:rsid w:val="0005591F"/>
    <w:rsid w:val="00060A93"/>
    <w:rsid w:val="00065815"/>
    <w:rsid w:val="0007156B"/>
    <w:rsid w:val="000901D7"/>
    <w:rsid w:val="00091FE7"/>
    <w:rsid w:val="00093783"/>
    <w:rsid w:val="00095F5A"/>
    <w:rsid w:val="000A0586"/>
    <w:rsid w:val="000A4987"/>
    <w:rsid w:val="000C347F"/>
    <w:rsid w:val="000E19C3"/>
    <w:rsid w:val="000E5460"/>
    <w:rsid w:val="000F0224"/>
    <w:rsid w:val="001064C1"/>
    <w:rsid w:val="00106830"/>
    <w:rsid w:val="00106ACD"/>
    <w:rsid w:val="00111E56"/>
    <w:rsid w:val="001205C6"/>
    <w:rsid w:val="0012200A"/>
    <w:rsid w:val="00122E08"/>
    <w:rsid w:val="00124A10"/>
    <w:rsid w:val="00141E73"/>
    <w:rsid w:val="00142F2D"/>
    <w:rsid w:val="00147EB0"/>
    <w:rsid w:val="001550FB"/>
    <w:rsid w:val="001633CF"/>
    <w:rsid w:val="00164AAB"/>
    <w:rsid w:val="0017414E"/>
    <w:rsid w:val="00180D6D"/>
    <w:rsid w:val="00185ABB"/>
    <w:rsid w:val="001923DE"/>
    <w:rsid w:val="00194B20"/>
    <w:rsid w:val="001A5392"/>
    <w:rsid w:val="001A6223"/>
    <w:rsid w:val="001A7799"/>
    <w:rsid w:val="001B095D"/>
    <w:rsid w:val="001C7B47"/>
    <w:rsid w:val="001E3F89"/>
    <w:rsid w:val="00210C8E"/>
    <w:rsid w:val="00211A63"/>
    <w:rsid w:val="00222350"/>
    <w:rsid w:val="0022515D"/>
    <w:rsid w:val="002366D6"/>
    <w:rsid w:val="00240E2E"/>
    <w:rsid w:val="00244E34"/>
    <w:rsid w:val="002463EE"/>
    <w:rsid w:val="002603D4"/>
    <w:rsid w:val="00260F65"/>
    <w:rsid w:val="00262B7B"/>
    <w:rsid w:val="00262C75"/>
    <w:rsid w:val="002711B6"/>
    <w:rsid w:val="002846FB"/>
    <w:rsid w:val="00297C0D"/>
    <w:rsid w:val="002A7C85"/>
    <w:rsid w:val="002B442F"/>
    <w:rsid w:val="002B535E"/>
    <w:rsid w:val="002C2262"/>
    <w:rsid w:val="002C259F"/>
    <w:rsid w:val="002C33F5"/>
    <w:rsid w:val="002C6C36"/>
    <w:rsid w:val="002D1CEE"/>
    <w:rsid w:val="002F381F"/>
    <w:rsid w:val="00302718"/>
    <w:rsid w:val="00307D7E"/>
    <w:rsid w:val="00330609"/>
    <w:rsid w:val="0033306E"/>
    <w:rsid w:val="00342E34"/>
    <w:rsid w:val="0034633B"/>
    <w:rsid w:val="003627E0"/>
    <w:rsid w:val="003649A6"/>
    <w:rsid w:val="0038298C"/>
    <w:rsid w:val="00392364"/>
    <w:rsid w:val="00393AF1"/>
    <w:rsid w:val="003A3376"/>
    <w:rsid w:val="003A4A37"/>
    <w:rsid w:val="003B0EAA"/>
    <w:rsid w:val="003B460F"/>
    <w:rsid w:val="003C724F"/>
    <w:rsid w:val="003D35A4"/>
    <w:rsid w:val="003D48F4"/>
    <w:rsid w:val="003D65D0"/>
    <w:rsid w:val="003E1DEE"/>
    <w:rsid w:val="003E6F9F"/>
    <w:rsid w:val="003F3933"/>
    <w:rsid w:val="003F5170"/>
    <w:rsid w:val="004009BB"/>
    <w:rsid w:val="00402EBA"/>
    <w:rsid w:val="00407083"/>
    <w:rsid w:val="0041001F"/>
    <w:rsid w:val="00410923"/>
    <w:rsid w:val="00410FCF"/>
    <w:rsid w:val="00443CEA"/>
    <w:rsid w:val="00450A42"/>
    <w:rsid w:val="00464B63"/>
    <w:rsid w:val="00480659"/>
    <w:rsid w:val="004845C6"/>
    <w:rsid w:val="004909B2"/>
    <w:rsid w:val="004A13DE"/>
    <w:rsid w:val="004A35FF"/>
    <w:rsid w:val="004B1878"/>
    <w:rsid w:val="004D1384"/>
    <w:rsid w:val="004D423D"/>
    <w:rsid w:val="004D7AF7"/>
    <w:rsid w:val="004F201A"/>
    <w:rsid w:val="004F6E63"/>
    <w:rsid w:val="00501014"/>
    <w:rsid w:val="00510DB9"/>
    <w:rsid w:val="00511290"/>
    <w:rsid w:val="005140E4"/>
    <w:rsid w:val="00525763"/>
    <w:rsid w:val="00536747"/>
    <w:rsid w:val="005442D7"/>
    <w:rsid w:val="0054661D"/>
    <w:rsid w:val="00552654"/>
    <w:rsid w:val="005534A3"/>
    <w:rsid w:val="00554433"/>
    <w:rsid w:val="00560C4E"/>
    <w:rsid w:val="00563285"/>
    <w:rsid w:val="00575F26"/>
    <w:rsid w:val="00576948"/>
    <w:rsid w:val="00583BEE"/>
    <w:rsid w:val="00587401"/>
    <w:rsid w:val="00594A6D"/>
    <w:rsid w:val="005A17C6"/>
    <w:rsid w:val="005A68DB"/>
    <w:rsid w:val="005A7F14"/>
    <w:rsid w:val="005B3CC5"/>
    <w:rsid w:val="005C0F78"/>
    <w:rsid w:val="005C23FC"/>
    <w:rsid w:val="005C54DC"/>
    <w:rsid w:val="005C76DE"/>
    <w:rsid w:val="00603B96"/>
    <w:rsid w:val="00607DFF"/>
    <w:rsid w:val="00621BD5"/>
    <w:rsid w:val="00622488"/>
    <w:rsid w:val="00622E18"/>
    <w:rsid w:val="00623D43"/>
    <w:rsid w:val="00634675"/>
    <w:rsid w:val="006457B7"/>
    <w:rsid w:val="00662907"/>
    <w:rsid w:val="00667F89"/>
    <w:rsid w:val="006702D3"/>
    <w:rsid w:val="00676DD2"/>
    <w:rsid w:val="00677074"/>
    <w:rsid w:val="00680BF5"/>
    <w:rsid w:val="00682F1C"/>
    <w:rsid w:val="00683FC3"/>
    <w:rsid w:val="00684DCB"/>
    <w:rsid w:val="00685FDA"/>
    <w:rsid w:val="00687E32"/>
    <w:rsid w:val="00687E45"/>
    <w:rsid w:val="00690E74"/>
    <w:rsid w:val="006A6D90"/>
    <w:rsid w:val="006B0CFA"/>
    <w:rsid w:val="006C31A8"/>
    <w:rsid w:val="006E4F2E"/>
    <w:rsid w:val="006E6C98"/>
    <w:rsid w:val="006F13E5"/>
    <w:rsid w:val="00704E3F"/>
    <w:rsid w:val="00714CD1"/>
    <w:rsid w:val="007260FC"/>
    <w:rsid w:val="00731A5B"/>
    <w:rsid w:val="00734B6B"/>
    <w:rsid w:val="00736A97"/>
    <w:rsid w:val="00743E00"/>
    <w:rsid w:val="007539C8"/>
    <w:rsid w:val="00755D29"/>
    <w:rsid w:val="0075735C"/>
    <w:rsid w:val="00767454"/>
    <w:rsid w:val="00774F79"/>
    <w:rsid w:val="00795038"/>
    <w:rsid w:val="00796F82"/>
    <w:rsid w:val="007A2B58"/>
    <w:rsid w:val="007C46D3"/>
    <w:rsid w:val="007D00FE"/>
    <w:rsid w:val="007D5933"/>
    <w:rsid w:val="007F040A"/>
    <w:rsid w:val="007F0459"/>
    <w:rsid w:val="007F076B"/>
    <w:rsid w:val="007F2306"/>
    <w:rsid w:val="00823F27"/>
    <w:rsid w:val="00824CA2"/>
    <w:rsid w:val="0083698D"/>
    <w:rsid w:val="008401D9"/>
    <w:rsid w:val="008524DA"/>
    <w:rsid w:val="00881DC1"/>
    <w:rsid w:val="00892309"/>
    <w:rsid w:val="00892B40"/>
    <w:rsid w:val="00895645"/>
    <w:rsid w:val="008B2B23"/>
    <w:rsid w:val="008C4821"/>
    <w:rsid w:val="008F228E"/>
    <w:rsid w:val="008F2A98"/>
    <w:rsid w:val="008F2F1E"/>
    <w:rsid w:val="008F40F0"/>
    <w:rsid w:val="008F5D39"/>
    <w:rsid w:val="00907EA8"/>
    <w:rsid w:val="0092172C"/>
    <w:rsid w:val="009222FE"/>
    <w:rsid w:val="00947723"/>
    <w:rsid w:val="009502AC"/>
    <w:rsid w:val="0096156B"/>
    <w:rsid w:val="009641FE"/>
    <w:rsid w:val="009658DF"/>
    <w:rsid w:val="00966484"/>
    <w:rsid w:val="00967620"/>
    <w:rsid w:val="00967C47"/>
    <w:rsid w:val="00974AFD"/>
    <w:rsid w:val="009757C5"/>
    <w:rsid w:val="009950BC"/>
    <w:rsid w:val="009A3E6B"/>
    <w:rsid w:val="009A42E3"/>
    <w:rsid w:val="009B45AB"/>
    <w:rsid w:val="009C35BF"/>
    <w:rsid w:val="009C5BD3"/>
    <w:rsid w:val="009D3820"/>
    <w:rsid w:val="009D5519"/>
    <w:rsid w:val="009E2237"/>
    <w:rsid w:val="009E2875"/>
    <w:rsid w:val="009F30D1"/>
    <w:rsid w:val="009F5971"/>
    <w:rsid w:val="00A05229"/>
    <w:rsid w:val="00A13A9C"/>
    <w:rsid w:val="00A15855"/>
    <w:rsid w:val="00A167E9"/>
    <w:rsid w:val="00A35D83"/>
    <w:rsid w:val="00A36D28"/>
    <w:rsid w:val="00A60719"/>
    <w:rsid w:val="00A66EF0"/>
    <w:rsid w:val="00A676F4"/>
    <w:rsid w:val="00A851EB"/>
    <w:rsid w:val="00A95645"/>
    <w:rsid w:val="00AA36BF"/>
    <w:rsid w:val="00AB799E"/>
    <w:rsid w:val="00AC1567"/>
    <w:rsid w:val="00AC322C"/>
    <w:rsid w:val="00AC3550"/>
    <w:rsid w:val="00AC37E9"/>
    <w:rsid w:val="00AC6739"/>
    <w:rsid w:val="00AD6B9C"/>
    <w:rsid w:val="00AE55AA"/>
    <w:rsid w:val="00AF45EB"/>
    <w:rsid w:val="00B05E8A"/>
    <w:rsid w:val="00B0706F"/>
    <w:rsid w:val="00B1093A"/>
    <w:rsid w:val="00B11747"/>
    <w:rsid w:val="00B11CA9"/>
    <w:rsid w:val="00B14DE9"/>
    <w:rsid w:val="00B2293C"/>
    <w:rsid w:val="00B244B1"/>
    <w:rsid w:val="00B43145"/>
    <w:rsid w:val="00B46A15"/>
    <w:rsid w:val="00B46C32"/>
    <w:rsid w:val="00B50F47"/>
    <w:rsid w:val="00B548E6"/>
    <w:rsid w:val="00B565E9"/>
    <w:rsid w:val="00B62D71"/>
    <w:rsid w:val="00B6521B"/>
    <w:rsid w:val="00B73238"/>
    <w:rsid w:val="00B73516"/>
    <w:rsid w:val="00B815DE"/>
    <w:rsid w:val="00B83305"/>
    <w:rsid w:val="00B978FB"/>
    <w:rsid w:val="00B97F5F"/>
    <w:rsid w:val="00BA14C7"/>
    <w:rsid w:val="00BA381A"/>
    <w:rsid w:val="00BD3D89"/>
    <w:rsid w:val="00BD3F6E"/>
    <w:rsid w:val="00BE0239"/>
    <w:rsid w:val="00BE5A44"/>
    <w:rsid w:val="00BF73AE"/>
    <w:rsid w:val="00C01432"/>
    <w:rsid w:val="00C01D93"/>
    <w:rsid w:val="00C06597"/>
    <w:rsid w:val="00C06E58"/>
    <w:rsid w:val="00C114C1"/>
    <w:rsid w:val="00C2649B"/>
    <w:rsid w:val="00C472D6"/>
    <w:rsid w:val="00C47C58"/>
    <w:rsid w:val="00C65CAC"/>
    <w:rsid w:val="00C71BE9"/>
    <w:rsid w:val="00C73023"/>
    <w:rsid w:val="00C77E3F"/>
    <w:rsid w:val="00C83767"/>
    <w:rsid w:val="00C94905"/>
    <w:rsid w:val="00CB04A2"/>
    <w:rsid w:val="00CB53B5"/>
    <w:rsid w:val="00CC443F"/>
    <w:rsid w:val="00CD6D96"/>
    <w:rsid w:val="00CF4B86"/>
    <w:rsid w:val="00D036C1"/>
    <w:rsid w:val="00D10035"/>
    <w:rsid w:val="00D115CF"/>
    <w:rsid w:val="00D20005"/>
    <w:rsid w:val="00D31BB8"/>
    <w:rsid w:val="00D338B4"/>
    <w:rsid w:val="00D556E0"/>
    <w:rsid w:val="00D5655E"/>
    <w:rsid w:val="00D61520"/>
    <w:rsid w:val="00D670A7"/>
    <w:rsid w:val="00D80D3D"/>
    <w:rsid w:val="00D903F1"/>
    <w:rsid w:val="00D90622"/>
    <w:rsid w:val="00D96903"/>
    <w:rsid w:val="00DA0892"/>
    <w:rsid w:val="00DC2427"/>
    <w:rsid w:val="00DC5749"/>
    <w:rsid w:val="00DD3585"/>
    <w:rsid w:val="00DD360E"/>
    <w:rsid w:val="00DD53CA"/>
    <w:rsid w:val="00DE021E"/>
    <w:rsid w:val="00DE1EEE"/>
    <w:rsid w:val="00DE615C"/>
    <w:rsid w:val="00E1670F"/>
    <w:rsid w:val="00E364AE"/>
    <w:rsid w:val="00E424CA"/>
    <w:rsid w:val="00E44336"/>
    <w:rsid w:val="00E5106D"/>
    <w:rsid w:val="00E53475"/>
    <w:rsid w:val="00E650AD"/>
    <w:rsid w:val="00E72E94"/>
    <w:rsid w:val="00E809A6"/>
    <w:rsid w:val="00E93E35"/>
    <w:rsid w:val="00E947D4"/>
    <w:rsid w:val="00EA0E9A"/>
    <w:rsid w:val="00EA7662"/>
    <w:rsid w:val="00EB1346"/>
    <w:rsid w:val="00EC2DE7"/>
    <w:rsid w:val="00EC6727"/>
    <w:rsid w:val="00EC7F3C"/>
    <w:rsid w:val="00ED268B"/>
    <w:rsid w:val="00ED38F2"/>
    <w:rsid w:val="00ED4EB5"/>
    <w:rsid w:val="00ED77AB"/>
    <w:rsid w:val="00EE0F75"/>
    <w:rsid w:val="00EE579E"/>
    <w:rsid w:val="00EF1315"/>
    <w:rsid w:val="00EF5BCC"/>
    <w:rsid w:val="00F054C8"/>
    <w:rsid w:val="00F123B4"/>
    <w:rsid w:val="00F14B9F"/>
    <w:rsid w:val="00F305C3"/>
    <w:rsid w:val="00F639FE"/>
    <w:rsid w:val="00F64DD5"/>
    <w:rsid w:val="00F71744"/>
    <w:rsid w:val="00F75109"/>
    <w:rsid w:val="00F87AC9"/>
    <w:rsid w:val="00F87FA4"/>
    <w:rsid w:val="00F91682"/>
    <w:rsid w:val="00F94799"/>
    <w:rsid w:val="00FA566E"/>
    <w:rsid w:val="00FB168E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D28"/>
  </w:style>
  <w:style w:type="paragraph" w:styleId="a8">
    <w:name w:val="footer"/>
    <w:basedOn w:val="a"/>
    <w:link w:val="a9"/>
    <w:uiPriority w:val="99"/>
    <w:unhideWhenUsed/>
    <w:rsid w:val="00A3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D28"/>
  </w:style>
  <w:style w:type="paragraph" w:styleId="aa">
    <w:name w:val="List Paragraph"/>
    <w:basedOn w:val="a"/>
    <w:uiPriority w:val="34"/>
    <w:qFormat/>
    <w:rsid w:val="0041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2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1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65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6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 sz="1600">
                <a:solidFill>
                  <a:schemeClr val="tx1">
                    <a:lumMod val="65000"/>
                    <a:lumOff val="35000"/>
                  </a:schemeClr>
                </a:solidFill>
              </a:rPr>
              <a:t>Способы доставки обращений </a:t>
            </a:r>
          </a:p>
        </c:rich>
      </c:tx>
      <c:layout>
        <c:manualLayout>
          <c:xMode val="edge"/>
          <c:yMode val="edge"/>
          <c:x val="0.2230189089752968"/>
          <c:y val="1.2864204808623523E-2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932519907906985"/>
          <c:y val="0.39020522969388183"/>
          <c:w val="0.44695409223991373"/>
          <c:h val="0.605772926363602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explosion val="15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explosion val="9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explosion val="9"/>
          </c:dPt>
          <c:dPt>
            <c:idx val="3"/>
            <c:bubble3D val="0"/>
            <c:explosion val="10"/>
          </c:dPt>
          <c:dPt>
            <c:idx val="4"/>
            <c:bubble3D val="0"/>
            <c:explosion val="14"/>
          </c:dPt>
          <c:dPt>
            <c:idx val="5"/>
            <c:bubble3D val="0"/>
            <c:explosion val="12"/>
          </c:dPt>
          <c:dPt>
            <c:idx val="6"/>
            <c:bubble3D val="0"/>
            <c:explosion val="12"/>
          </c:dPt>
          <c:dPt>
            <c:idx val="7"/>
            <c:bubble3D val="0"/>
            <c:explosion val="8"/>
          </c:dPt>
          <c:dPt>
            <c:idx val="8"/>
            <c:bubble3D val="0"/>
            <c:explosion val="9"/>
          </c:dPt>
          <c:dLbls>
            <c:dLbl>
              <c:idx val="0"/>
              <c:layout>
                <c:manualLayout>
                  <c:x val="0.10051623819704618"/>
                  <c:y val="5.332968248387092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11334809839241378"/>
                  <c:y val="-3.25947392310867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8820061619872477"/>
                  <c:y val="9.31278263745336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1839248507035392"/>
                  <c:y val="-4.983403926726618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0.13259588868546512"/>
                  <c:y val="-5.587669582472025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5.561909074324041E-2"/>
                  <c:y val="-6.43241025115795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5.3473156790300021E-2"/>
                  <c:y val="-6.946834617400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0.25663720390735201"/>
                  <c:y val="4.20144067100188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0.10479335653171988"/>
                  <c:y val="-8.38150437370803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МЭДО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Лично</c:v>
                </c:pt>
                <c:pt idx="5">
                  <c:v>Курьер, нарочный</c:v>
                </c:pt>
                <c:pt idx="6">
                  <c:v>СЭД</c:v>
                </c:pt>
                <c:pt idx="7">
                  <c:v>Из поездки Губернатора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780</c:v>
                </c:pt>
                <c:pt idx="1">
                  <c:v>570</c:v>
                </c:pt>
                <c:pt idx="2">
                  <c:v>144</c:v>
                </c:pt>
                <c:pt idx="3">
                  <c:v>146</c:v>
                </c:pt>
                <c:pt idx="4">
                  <c:v>165</c:v>
                </c:pt>
                <c:pt idx="5">
                  <c:v>8</c:v>
                </c:pt>
                <c:pt idx="6">
                  <c:v>14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Обращения во </a:t>
            </a:r>
            <a:r>
              <a:rPr lang="en-US"/>
              <a:t>II </a:t>
            </a:r>
            <a:r>
              <a:rPr lang="ru-RU"/>
              <a:t>квартале 2022 года</a:t>
            </a:r>
          </a:p>
        </c:rich>
      </c:tx>
      <c:layout>
        <c:manualLayout>
          <c:xMode val="edge"/>
          <c:yMode val="edge"/>
          <c:x val="0.20020980414604878"/>
          <c:y val="7.7193462249924988E-2"/>
        </c:manualLayout>
      </c:layout>
      <c:overlay val="1"/>
    </c:title>
    <c:autoTitleDeleted val="0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15455057177359E-2"/>
          <c:y val="0.3143604878623168"/>
          <c:w val="0.52949427363582779"/>
          <c:h val="0.666790113609170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I квартале 2022 года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explosion val="0"/>
            <c:spPr>
              <a:solidFill>
                <a:schemeClr val="accent3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5.0852194866479166E-3"/>
                  <c:y val="-3.0388846117179125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3.2317702750740127E-2"/>
                  <c:y val="-2.3011264257887114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Индивидуальные</c:v>
                </c:pt>
                <c:pt idx="1">
                  <c:v>Коллективные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1754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570804659110653"/>
          <c:y val="0.41038661142007599"/>
          <c:w val="0.28136788232650245"/>
          <c:h val="0.17922677715984803"/>
        </c:manualLayout>
      </c:layout>
      <c:overlay val="0"/>
      <c:txPr>
        <a:bodyPr/>
        <a:lstStyle/>
        <a:p>
          <a:pPr>
            <a:defRPr sz="1200" b="1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1">
                    <a:lumMod val="65000"/>
                    <a:lumOff val="35000"/>
                  </a:schemeClr>
                </a:solidFill>
              </a:rPr>
              <a:t>Тематика обращений</a:t>
            </a:r>
          </a:p>
        </c:rich>
      </c:tx>
      <c:overlay val="0"/>
    </c:title>
    <c:autoTitleDeleted val="0"/>
    <c:view3D>
      <c:rotX val="1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888546733847341E-2"/>
          <c:y val="0.21530423556150272"/>
          <c:w val="0.92054422227751798"/>
          <c:h val="0.745682581278538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2.314814814814814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Оборона, безопасность, законность
79-3%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Государство, общество, политика.
279-11%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Экономика
354-15%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Жилищно-коммунальная сфера
485-21%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Социальная сфера
840-36%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b="1"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Лист1!$A$2:$A$6</c:f>
              <c:strCache>
                <c:ptCount val="5"/>
                <c:pt idx="0">
                  <c:v>Оборона, безопасность, законность</c:v>
                </c:pt>
                <c:pt idx="1">
                  <c:v>Государство, общество, политика.</c:v>
                </c:pt>
                <c:pt idx="2">
                  <c:v>Экономика</c:v>
                </c:pt>
                <c:pt idx="3">
                  <c:v>Жилищно-коммунальная сфера</c:v>
                </c:pt>
                <c:pt idx="4">
                  <c:v>Социальная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</c:v>
                </c:pt>
                <c:pt idx="1">
                  <c:v>279</c:v>
                </c:pt>
                <c:pt idx="2">
                  <c:v>354</c:v>
                </c:pt>
                <c:pt idx="3">
                  <c:v>485</c:v>
                </c:pt>
                <c:pt idx="4">
                  <c:v>840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9"/>
        <c:gapDepth val="156"/>
        <c:shape val="cylinder"/>
        <c:axId val="83668480"/>
        <c:axId val="63618368"/>
        <c:axId val="46302464"/>
      </c:bar3DChart>
      <c:catAx>
        <c:axId val="83668480"/>
        <c:scaling>
          <c:orientation val="minMax"/>
        </c:scaling>
        <c:delete val="1"/>
        <c:axPos val="b"/>
        <c:majorTickMark val="out"/>
        <c:minorTickMark val="none"/>
        <c:tickLblPos val="nextTo"/>
        <c:crossAx val="63618368"/>
        <c:crosses val="autoZero"/>
        <c:auto val="1"/>
        <c:lblAlgn val="ctr"/>
        <c:lblOffset val="100"/>
        <c:noMultiLvlLbl val="0"/>
      </c:catAx>
      <c:valAx>
        <c:axId val="63618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83668480"/>
        <c:crosses val="autoZero"/>
        <c:crossBetween val="between"/>
      </c:valAx>
      <c:serAx>
        <c:axId val="46302464"/>
        <c:scaling>
          <c:orientation val="minMax"/>
        </c:scaling>
        <c:delete val="1"/>
        <c:axPos val="b"/>
        <c:majorTickMark val="out"/>
        <c:minorTickMark val="none"/>
        <c:tickLblPos val="nextTo"/>
        <c:crossAx val="6361836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0.82307</cdr:x>
      <cdr:y>0.00328</cdr:y>
    </cdr:from>
    <cdr:to>
      <cdr:x>0.99831</cdr:x>
      <cdr:y>0.07377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887311" y="10511"/>
          <a:ext cx="1040524" cy="2259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tx1">
                  <a:lumMod val="65000"/>
                  <a:lumOff val="35000"/>
                </a:schemeClr>
              </a:solidFill>
            </a:rPr>
            <a:t>Диаграмма 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0.82536</cdr:x>
      <cdr:y>0.00998</cdr:y>
    </cdr:from>
    <cdr:to>
      <cdr:x>0.99827</cdr:x>
      <cdr:y>0.09981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866290" y="26276"/>
          <a:ext cx="1019503" cy="2364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tx1">
                  <a:lumMod val="65000"/>
                  <a:lumOff val="35000"/>
                </a:schemeClr>
              </a:solidFill>
            </a:rPr>
            <a:t>Диаграмма </a:t>
          </a:r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2</a:t>
          </a:r>
          <a:endParaRPr lang="ru-RU" sz="10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0.81119</cdr:x>
      <cdr:y>0.00493</cdr:y>
    </cdr:from>
    <cdr:to>
      <cdr:x>0.99825</cdr:x>
      <cdr:y>0.11494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808482" y="11261"/>
          <a:ext cx="1108842" cy="2514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tx1">
                  <a:lumMod val="65000"/>
                  <a:lumOff val="35000"/>
                </a:schemeClr>
              </a:solidFill>
            </a:rPr>
            <a:t>Диаграмма </a:t>
          </a:r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3</a:t>
          </a:r>
          <a:endParaRPr lang="ru-RU" sz="10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0E65-7AD3-4FED-802C-BED44F07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MatveevaSS</cp:lastModifiedBy>
  <cp:revision>6</cp:revision>
  <cp:lastPrinted>2022-04-05T00:57:00Z</cp:lastPrinted>
  <dcterms:created xsi:type="dcterms:W3CDTF">2022-06-29T03:47:00Z</dcterms:created>
  <dcterms:modified xsi:type="dcterms:W3CDTF">2022-07-04T00:07:00Z</dcterms:modified>
</cp:coreProperties>
</file>