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Тунгиро-Олёкминская</w:t>
      </w:r>
      <w:proofErr w:type="spellEnd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районе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Тунгиро-Олёкминский</w:t>
      </w:r>
      <w:proofErr w:type="spellEnd"/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1240AB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51" w:rsidRPr="00790551" w:rsidRDefault="00790551" w:rsidP="0079055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:rsidR="00790551" w:rsidRPr="00790551" w:rsidRDefault="00790551" w:rsidP="0079055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Забайкальского края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Тунгиро-Олёкминский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B23B3D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народы);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B2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B23B3D">
      <w:pPr>
        <w:shd w:val="clear" w:color="auto" w:fill="FFFFFF"/>
        <w:tabs>
          <w:tab w:val="left" w:pos="0"/>
        </w:tabs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B2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B2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Тунгиро-Олёкминская</w:t>
      </w:r>
      <w:proofErr w:type="spellEnd"/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1586790 га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кминского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46,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72,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83-158,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162-220,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248,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272,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Гобзякитской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дачи;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1–8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15–24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36–44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51–62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79–89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105–117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134–147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161–176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198–201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201а,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203а,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204а,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239–243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243а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261–268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268а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276–283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280–295а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296,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296а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Усмунской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дачи.</w:t>
      </w:r>
    </w:p>
    <w:p w:rsidR="00FE03D6" w:rsidRPr="00FE03D6" w:rsidRDefault="0038605D" w:rsidP="00B23B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Амурской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рек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Хайкта</w:t>
      </w:r>
      <w:proofErr w:type="spell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Нюкжа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Урка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хребте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Кулинские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юго-восточной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зоны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граница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1476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рек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Нюкжа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Баркакит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северо-восток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1600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Нюкжинского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хребта,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этому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хребту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proofErr w:type="gram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1521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северо-запад,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юкжа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1.5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севернее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р.Умылакта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896,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рек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Хаку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Хаимкан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р.Ненюга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3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восточнее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р.Хаку</w:t>
      </w:r>
      <w:proofErr w:type="spell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вверх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течению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р.Ненюга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пройдя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р.Наалдын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3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правым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енангра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Лопча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2-х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восточнее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р.Сенангра</w:t>
      </w:r>
      <w:proofErr w:type="spell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перейдя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р.Лопча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1177,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Северо-запад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932,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огибая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левые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притоки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р.Лопча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юге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1092,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запад,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1143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круто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северо-запад,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затем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пройдя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1163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771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спускается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обзьякит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восточнее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Олломакит</w:t>
      </w:r>
      <w:proofErr w:type="spell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пройдя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3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северо-запад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перейдя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2-х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р.Саксурин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поднимается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836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дальше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1028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левых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притоков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FE03D6" w:rsidRPr="00FE03D6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этим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водоразделом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юго-запад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D6" w:rsidRPr="00FE03D6">
        <w:rPr>
          <w:rFonts w:ascii="Times New Roman" w:eastAsia="Calibri" w:hAnsi="Times New Roman" w:cs="Times New Roman"/>
          <w:sz w:val="28"/>
          <w:szCs w:val="28"/>
        </w:rPr>
        <w:t>высот:</w:t>
      </w:r>
    </w:p>
    <w:p w:rsidR="00934C05" w:rsidRDefault="00FE03D6" w:rsidP="00B23B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1021,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северо-запад,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FE03D6">
        <w:rPr>
          <w:rFonts w:ascii="Times New Roman" w:eastAsia="Calibri" w:hAnsi="Times New Roman" w:cs="Times New Roman"/>
          <w:sz w:val="28"/>
          <w:szCs w:val="28"/>
        </w:rPr>
        <w:t>смун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водоразделами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поднимается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780,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1038,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1072,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1233,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последней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юго-запад,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запад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р.Эльпа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юго-запад,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р.Эльпа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хребту,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проходя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1132,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1421,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1453,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1362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E03D6">
        <w:rPr>
          <w:rFonts w:ascii="Times New Roman" w:eastAsia="Calibri" w:hAnsi="Times New Roman" w:cs="Times New Roman"/>
          <w:sz w:val="28"/>
          <w:szCs w:val="28"/>
        </w:rPr>
        <w:t>ред.Мокла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р.Сред.Мокла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проходит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1084,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огибая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истоки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безымянного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правого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притока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р.Сред.Мокла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проходит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1238,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вновь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р.Сред.Мокла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р.Сайбочи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водораздел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рек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Бушучи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Лев.Орогочи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Голова,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1264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северо-запад,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FE03D6">
        <w:rPr>
          <w:rFonts w:ascii="Times New Roman" w:eastAsia="Calibri" w:hAnsi="Times New Roman" w:cs="Times New Roman"/>
          <w:sz w:val="28"/>
          <w:szCs w:val="28"/>
        </w:rPr>
        <w:t>желов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2-х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южнее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р.Голова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1441,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вновь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р.Сред.Мокла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2-х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р.Оикта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1272,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р.Джекдачи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1572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E03D6">
        <w:rPr>
          <w:rFonts w:ascii="Times New Roman" w:eastAsia="Calibri" w:hAnsi="Times New Roman" w:cs="Times New Roman"/>
          <w:sz w:val="28"/>
          <w:szCs w:val="28"/>
        </w:rPr>
        <w:t>ануёк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р.Верх.Мокла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восточнее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р.Гарамнак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правому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водоразделу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р.Гарамнак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истоку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р.Чопко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восток,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1329,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северо-восток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пересекает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р.Верх.Мокла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западнее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lastRenderedPageBreak/>
        <w:t>с.Моклакан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1517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FE03D6">
        <w:rPr>
          <w:rFonts w:ascii="Times New Roman" w:eastAsia="Calibri" w:hAnsi="Times New Roman" w:cs="Times New Roman"/>
          <w:sz w:val="28"/>
          <w:szCs w:val="28"/>
        </w:rPr>
        <w:t>орголкит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северо-восток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1522,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этой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юго-восток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р.Верх.Мок</w:t>
      </w:r>
      <w:proofErr w:type="spellEnd"/>
      <w:r w:rsidRPr="00FE03D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юго-запад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</w:t>
      </w:r>
      <w:r w:rsidR="00A73124">
        <w:rPr>
          <w:rFonts w:ascii="Times New Roman" w:eastAsia="Calibri" w:hAnsi="Times New Roman" w:cs="Times New Roman"/>
          <w:sz w:val="28"/>
          <w:szCs w:val="28"/>
        </w:rPr>
        <w:t>.</w:t>
      </w:r>
      <w:r w:rsidRPr="00FE03D6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р.Бол.Чокур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устья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поворачивает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пройдя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1250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отметкой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1568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Тунгиро-Олекминского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районов,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этой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юго-запад,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Тунгиро-Олекминского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районов,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этой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северо-восток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Амурской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этой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границе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восток,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затем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юг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водораздела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рек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Хайта,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Нюкжа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Урка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хребте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03D6">
        <w:rPr>
          <w:rFonts w:ascii="Times New Roman" w:eastAsia="Calibri" w:hAnsi="Times New Roman" w:cs="Times New Roman"/>
          <w:sz w:val="28"/>
          <w:szCs w:val="28"/>
        </w:rPr>
        <w:t>Кулинские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D6">
        <w:rPr>
          <w:rFonts w:ascii="Times New Roman" w:eastAsia="Calibri" w:hAnsi="Times New Roman" w:cs="Times New Roman"/>
          <w:sz w:val="28"/>
          <w:szCs w:val="28"/>
        </w:rPr>
        <w:t>Высоты.</w:t>
      </w:r>
    </w:p>
    <w:p w:rsidR="00934C05" w:rsidRDefault="00216063" w:rsidP="00B23B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E03D6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="00051FDA" w:rsidRPr="00051FDA">
        <w:rPr>
          <w:rFonts w:ascii="Times New Roman" w:eastAsia="Calibri" w:hAnsi="Times New Roman" w:cs="Times New Roman"/>
          <w:sz w:val="28"/>
          <w:szCs w:val="28"/>
        </w:rPr>
        <w:t>»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Главы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Читинской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от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1994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года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281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«Об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определении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Тунгиро-Олекминского</w:t>
      </w:r>
      <w:proofErr w:type="spellEnd"/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района»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Calibri" w:eastAsia="Calibri" w:hAnsi="Calibri" w:cs="Times New Roman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исторически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сложившихся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культурных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связей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лиц,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относящихся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малочисленным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народам,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целостности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историко-культурного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наследия.</w:t>
      </w:r>
      <w:proofErr w:type="gramEnd"/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C26594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 w:rsidRPr="002F678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2F6785">
        <w:rPr>
          <w:rFonts w:ascii="Times New Roman" w:eastAsia="Calibri" w:hAnsi="Times New Roman" w:cs="Times New Roman"/>
          <w:sz w:val="28"/>
          <w:szCs w:val="28"/>
        </w:rPr>
        <w:t>а</w:t>
      </w:r>
      <w:r w:rsidR="002F6785" w:rsidRPr="002F6785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№ 591-ЗЗК</w:t>
      </w:r>
      <w:r w:rsidR="002F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892" w:rsidRPr="001F6DA0" w:rsidRDefault="001F6DA0" w:rsidP="00C26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Calibri" w:hAnsi="Times New Roman" w:cs="Times New Roman"/>
          <w:sz w:val="28"/>
          <w:szCs w:val="28"/>
        </w:rPr>
        <w:t>без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разрешено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0C9">
        <w:rPr>
          <w:rFonts w:ascii="Times New Roman" w:eastAsia="Calibri" w:hAnsi="Times New Roman" w:cs="Times New Roman"/>
          <w:sz w:val="28"/>
          <w:szCs w:val="28"/>
        </w:rPr>
        <w:t>с</w:t>
      </w:r>
      <w:r w:rsidR="00C81892">
        <w:rPr>
          <w:rFonts w:ascii="Times New Roman" w:eastAsia="Calibri" w:hAnsi="Times New Roman" w:cs="Times New Roman"/>
          <w:sz w:val="28"/>
          <w:szCs w:val="28"/>
        </w:rPr>
        <w:t>пособами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животного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растительного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мира,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противоречащими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обеспечивающими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биологического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разнообразия.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C07F7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числе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природопользования,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этой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природопользования;</w:t>
      </w:r>
    </w:p>
    <w:p w:rsidR="00C81892" w:rsidRDefault="001F6DA0" w:rsidP="00C2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1F6DA0">
        <w:rPr>
          <w:rFonts w:ascii="Times New Roman" w:eastAsia="Calibri" w:hAnsi="Times New Roman" w:cs="Times New Roman"/>
          <w:sz w:val="28"/>
          <w:szCs w:val="28"/>
        </w:rPr>
        <w:t>На ТТП «</w:t>
      </w:r>
      <w:proofErr w:type="spellStart"/>
      <w:r w:rsidRPr="001F6DA0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Pr="001F6DA0">
        <w:rPr>
          <w:rFonts w:ascii="Times New Roman" w:eastAsia="Calibri" w:hAnsi="Times New Roman" w:cs="Times New Roman"/>
          <w:sz w:val="28"/>
          <w:szCs w:val="28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историко-этнических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раскопок,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оленей);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(водоемов,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водотоков)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горизонтов;</w:t>
      </w:r>
    </w:p>
    <w:p w:rsidR="00C81892" w:rsidRDefault="001F6DA0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гидрологический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ирригационные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5D09A1" w:rsidRDefault="001F6DA0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ядохимикатов,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стимуляторов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гербицидов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инсектицидов;</w:t>
      </w:r>
    </w:p>
    <w:p w:rsidR="00C81892" w:rsidRDefault="001F6DA0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взрывчатых,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отравляющих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веществ;</w:t>
      </w:r>
    </w:p>
    <w:p w:rsidR="00C81892" w:rsidRDefault="001F6DA0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C81892">
        <w:rPr>
          <w:rFonts w:ascii="Times New Roman" w:eastAsia="Calibri" w:hAnsi="Times New Roman" w:cs="Times New Roman"/>
          <w:sz w:val="28"/>
          <w:szCs w:val="28"/>
        </w:rPr>
        <w:t>)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наносящие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ущерб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экосистемам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препятствующие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природных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комплексов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компонентов.</w:t>
      </w:r>
    </w:p>
    <w:p w:rsid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ТТП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выделяется особая зона традиционного природопользования общины коренных малочисленных народов Севера </w:t>
      </w:r>
      <w:r w:rsidR="002F678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F6785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15AD2" w:rsidRP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90551">
        <w:rPr>
          <w:rFonts w:ascii="Times New Roman" w:eastAsia="Calibri" w:hAnsi="Times New Roman" w:cs="Times New Roman"/>
          <w:sz w:val="28"/>
          <w:szCs w:val="28"/>
        </w:rPr>
        <w:t>о</w:t>
      </w:r>
      <w:r w:rsidRPr="00215AD2">
        <w:rPr>
          <w:rFonts w:ascii="Times New Roman" w:eastAsia="Calibri" w:hAnsi="Times New Roman" w:cs="Times New Roman"/>
          <w:sz w:val="28"/>
          <w:szCs w:val="28"/>
        </w:rPr>
        <w:t>собая зона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» образована без ограничения срока действия, без изъятия земельных участков правообладателей </w:t>
      </w:r>
      <w:proofErr w:type="gramStart"/>
      <w:r w:rsidR="002F6785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2F6785">
        <w:rPr>
          <w:rFonts w:ascii="Times New Roman" w:eastAsia="Calibri" w:hAnsi="Times New Roman" w:cs="Times New Roman"/>
          <w:sz w:val="28"/>
          <w:szCs w:val="28"/>
        </w:rPr>
        <w:t xml:space="preserve"> хозяйственного использования;</w:t>
      </w:r>
    </w:p>
    <w:p w:rsidR="00215AD2" w:rsidRP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90551">
        <w:rPr>
          <w:rFonts w:ascii="Times New Roman" w:eastAsia="Calibri" w:hAnsi="Times New Roman" w:cs="Times New Roman"/>
          <w:sz w:val="28"/>
          <w:szCs w:val="28"/>
        </w:rPr>
        <w:t>о</w:t>
      </w:r>
      <w:r w:rsidRPr="00215AD2">
        <w:rPr>
          <w:rFonts w:ascii="Times New Roman" w:eastAsia="Calibri" w:hAnsi="Times New Roman" w:cs="Times New Roman"/>
          <w:sz w:val="28"/>
          <w:szCs w:val="28"/>
        </w:rPr>
        <w:t>собая зона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» расположена в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Тунгиро-Олекминском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Забайкальского края на площади 334,48 тыс. га. Территория расположена на землях лесного фонда, в границах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Могочинского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лесничества, в пределах следующих лесных кварталов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Тунгиро-Олекминского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участкового лесничества: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Гобзякитская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дача) 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23;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31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46;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56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72;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83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158;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162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220;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225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248;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267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272;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296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298.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Усмунская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дача) 304,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305а,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305–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307;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280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295а, 296,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296а;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276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283а;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268,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268а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5AD2">
        <w:rPr>
          <w:rFonts w:ascii="Times New Roman" w:eastAsia="Calibri" w:hAnsi="Times New Roman" w:cs="Times New Roman"/>
          <w:sz w:val="28"/>
          <w:szCs w:val="28"/>
        </w:rPr>
        <w:t>4239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243,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243а;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198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201,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201а; 202,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202а, 203,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203а,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204а;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161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176;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134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147;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105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117;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79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89;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51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62;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36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44;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15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24;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90551">
        <w:rPr>
          <w:rFonts w:ascii="Times New Roman" w:eastAsia="Calibri" w:hAnsi="Times New Roman" w:cs="Times New Roman"/>
          <w:sz w:val="28"/>
          <w:szCs w:val="28"/>
        </w:rPr>
        <w:t>ю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жная граница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граница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051">
        <w:rPr>
          <w:rFonts w:ascii="Times New Roman" w:eastAsia="Calibri" w:hAnsi="Times New Roman" w:cs="Times New Roman"/>
          <w:sz w:val="28"/>
          <w:szCs w:val="28"/>
        </w:rPr>
        <w:t>Особой зоны «</w:t>
      </w:r>
      <w:proofErr w:type="spellStart"/>
      <w:r w:rsidR="00D21051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D2105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начинается от верховьев правого притока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пр.приток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) с высоты 851 на запад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высот 888, 985, далее на юго-запад до высоты 1057, верховья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на запад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евый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Тунгирикан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отметки 1154, далее на север по водоразделу (верховьям) р. Нижние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Pr="00215A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отметки 1167, на запад до отметки 1114, далее на северо-запад  по водоразделу (верховьям)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Олломокит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правыми притоками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ижние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высот 1003, 1125, далее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Уксак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р.Лакас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р.Лысенкин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правого берега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(в 1.6 км. ниже по течению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от устья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Западная граница Особой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начинается от правого берега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(в 1.6 км. ниже по течению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 устья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). Далее вниз по правому берегу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до устья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(левый приток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пересекает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по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до правого притока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по водоразделу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р.Атыркан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идет по водоразделу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р.Демкули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р.Атыркан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через высоту 856, далее с верховьев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р.Демкули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на север через высоту 994 и 910, затем на север по водоразделу левым притокам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(по левым притокам) через высоты 1024, 981, 993, 1066, 1053, 1250, далее до верховьев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через отметки 1528, 1694</w:t>
      </w:r>
      <w:r w:rsidR="0073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(верховье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р.Верхние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административная граница Забайкальского края и Амурской области. 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Северная граница Особой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начинается от водораздела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ерхние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отметка 1694, далее на восток по административной границе Забайкальского края и Амурской области (Южный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хребет) через отметки 1505, 1376, 1293, 14 и 1505 через верховья р. Левые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водораздела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р.Амбардах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р.Малые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Кабочи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притоками).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Восточная граница Особой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проходит по административной границе Забайкальского края и Амурской области в общем направлении на юг, пересекает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, затем через высоту 1124 (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Олекминский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хребет) далее от высоты 955 верховье левого притока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опчакан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на высоту 860, верховье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Лопчакан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через высоты 903, 841,762 и 851 (верховье правого притока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вунгукит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пр.приток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)</w:t>
      </w:r>
      <w:r w:rsidR="00215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215AD2">
        <w:rPr>
          <w:rFonts w:ascii="Times New Roman" w:eastAsia="Calibri" w:hAnsi="Times New Roman" w:cs="Times New Roman"/>
          <w:sz w:val="28"/>
          <w:szCs w:val="28"/>
        </w:rPr>
        <w:t>На особой зоне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</w:t>
      </w:r>
      <w:r w:rsidR="00124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 и их общинами;</w:t>
      </w:r>
      <w:proofErr w:type="gramEnd"/>
    </w:p>
    <w:p w:rsidR="00215AD2" w:rsidRPr="00215AD2" w:rsidRDefault="001240AB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785">
        <w:rPr>
          <w:rFonts w:ascii="Times New Roman" w:eastAsia="Calibri" w:hAnsi="Times New Roman" w:cs="Times New Roman"/>
          <w:sz w:val="28"/>
          <w:szCs w:val="28"/>
        </w:rPr>
        <w:t>н</w:t>
      </w:r>
      <w:r w:rsidRPr="001240AB">
        <w:rPr>
          <w:rFonts w:ascii="Times New Roman" w:eastAsia="Calibri" w:hAnsi="Times New Roman" w:cs="Times New Roman"/>
          <w:sz w:val="28"/>
          <w:szCs w:val="28"/>
        </w:rPr>
        <w:t>а особой зоне «</w:t>
      </w:r>
      <w:proofErr w:type="spellStart"/>
      <w:r w:rsidRPr="001240AB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1240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запрещается деятельность, которая может нанести ущерб природным комплексам и объектам растительного и животного мира, культурно-историческим объектам, в том числе: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а) деятельность, угрожающая существованию природных комплексов и взятых под охрану историко-культурных, историко-этнических объектов;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проведение сплошных рубок лесных насаждений в 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, если это влечет за собой нарушение сохранности особой зоны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в) загрязнение и захламление территории любыми видами отходов;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г) самовольное ведение раскопок, сбор и вывоз предметов, имеющих историко-культурную ценность;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д) превышение официально установленных для данной местности климатической зоны норм выпаса сельскохозяйственных животных (в данном случае – оленей);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е) повреждение и уничтожение аншлагов, информационных щитов и плакатов, опознавательных столбов, сооружений и других видов собственности особой зоны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ж) добыча для промышленных целей воды из поверхностных источников (водоемов, водотоков) или подземных водных горизонтов;</w:t>
      </w:r>
    </w:p>
    <w:p w:rsidR="00215AD2" w:rsidRPr="00215AD2" w:rsidRDefault="001F6DA0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деятельность, оказывающая влияние на гидрологический режим, в том числе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гидромелиоративные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и ирригационные работы;</w:t>
      </w:r>
    </w:p>
    <w:p w:rsidR="00215AD2" w:rsidRPr="00215AD2" w:rsidRDefault="001F6DA0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применение ядохимикатов, минеральных удобрений, стимуляторов роста, гербицидов и инсектицидов;</w:t>
      </w:r>
    </w:p>
    <w:p w:rsidR="00215AD2" w:rsidRPr="00215AD2" w:rsidRDefault="001F6DA0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215AD2" w:rsidRPr="00215AD2" w:rsidRDefault="001F6DA0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иные виды хозяйственной деятельности, наносящие ущерб экосистемам территории или препятствующие восстановлению ее природ</w:t>
      </w:r>
      <w:r w:rsidR="00790551">
        <w:rPr>
          <w:rFonts w:ascii="Times New Roman" w:eastAsia="Calibri" w:hAnsi="Times New Roman" w:cs="Times New Roman"/>
          <w:sz w:val="28"/>
          <w:szCs w:val="28"/>
        </w:rPr>
        <w:t>ных комплексов и их компонентов;</w:t>
      </w:r>
    </w:p>
    <w:p w:rsidR="00790551" w:rsidRDefault="004962FD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15AD2">
        <w:rPr>
          <w:rFonts w:ascii="Times New Roman" w:eastAsia="Calibri" w:hAnsi="Times New Roman" w:cs="Times New Roman"/>
          <w:sz w:val="28"/>
          <w:szCs w:val="28"/>
        </w:rPr>
        <w:t>)</w:t>
      </w:r>
      <w:r w:rsidR="0079055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части особой зоны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1F6DA0">
        <w:rPr>
          <w:rFonts w:ascii="Times New Roman" w:eastAsia="Calibri" w:hAnsi="Times New Roman" w:cs="Times New Roman"/>
          <w:sz w:val="28"/>
          <w:szCs w:val="28"/>
        </w:rPr>
        <w:t>»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 w:rsidR="007905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5AD2" w:rsidRPr="00215AD2" w:rsidRDefault="00790551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551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стоянки охотников: 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зимовье на правом берегу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Зарубинское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» на правом берегу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р.Мокчали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 на</w:t>
      </w:r>
      <w:r w:rsidR="00050091">
        <w:rPr>
          <w:rFonts w:ascii="Times New Roman" w:eastAsia="Calibri" w:hAnsi="Times New Roman" w:cs="Times New Roman"/>
          <w:sz w:val="28"/>
          <w:szCs w:val="28"/>
        </w:rPr>
        <w:t xml:space="preserve"> левом берегу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05009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050091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050091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р.</w:t>
      </w:r>
      <w:r w:rsidRPr="00215AD2">
        <w:rPr>
          <w:rFonts w:ascii="Times New Roman" w:eastAsia="Calibri" w:hAnsi="Times New Roman" w:cs="Times New Roman"/>
          <w:sz w:val="28"/>
          <w:szCs w:val="28"/>
        </w:rPr>
        <w:t>Иччилях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зимовья по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с притоками (Левые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и Правые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с их притоками);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зимовья по реке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притоками).</w:t>
      </w:r>
    </w:p>
    <w:p w:rsidR="00215AD2" w:rsidRPr="00215AD2" w:rsidRDefault="00215AD2" w:rsidP="0093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Стоянки рыболовов: 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развалины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Гидропорт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, зимовье на левом берегу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зимовье на правом берегу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в 4 км. от устья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551">
        <w:rPr>
          <w:rFonts w:ascii="Times New Roman" w:eastAsia="Calibri" w:hAnsi="Times New Roman" w:cs="Times New Roman"/>
          <w:sz w:val="28"/>
          <w:szCs w:val="28"/>
        </w:rPr>
        <w:t xml:space="preserve">вниз по течению </w:t>
      </w:r>
      <w:proofErr w:type="spellStart"/>
      <w:r w:rsidR="00790551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790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Зарубинское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 на правом б</w:t>
      </w:r>
      <w:r w:rsidR="00050091">
        <w:rPr>
          <w:rFonts w:ascii="Times New Roman" w:eastAsia="Calibri" w:hAnsi="Times New Roman" w:cs="Times New Roman"/>
          <w:sz w:val="28"/>
          <w:szCs w:val="28"/>
        </w:rPr>
        <w:t xml:space="preserve">ерегу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05009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050091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="00050091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р.</w:t>
      </w:r>
      <w:r w:rsidR="002F6785">
        <w:rPr>
          <w:rFonts w:ascii="Times New Roman" w:eastAsia="Calibri" w:hAnsi="Times New Roman" w:cs="Times New Roman"/>
          <w:sz w:val="28"/>
          <w:szCs w:val="28"/>
        </w:rPr>
        <w:t>Мокчали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D2" w:rsidRPr="00215AD2" w:rsidRDefault="002F6785" w:rsidP="0093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 земли и водного пространства, используемые для ведения различных видов традиционного природопользования и традиционного образа жизни (традиционные угодья)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окчали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Тренак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притоками),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р.Левые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административной границы с Амурской областью; </w:t>
      </w:r>
    </w:p>
    <w:p w:rsidR="00215AD2" w:rsidRPr="00215AD2" w:rsidRDefault="00215AD2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р.Лукингра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оз.Лукина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) до администрати</w:t>
      </w:r>
      <w:r w:rsidR="002F6785">
        <w:rPr>
          <w:rFonts w:ascii="Times New Roman" w:eastAsia="Calibri" w:hAnsi="Times New Roman" w:cs="Times New Roman"/>
          <w:sz w:val="28"/>
          <w:szCs w:val="28"/>
        </w:rPr>
        <w:t>вных границ с Амурской областью.</w:t>
      </w:r>
    </w:p>
    <w:p w:rsidR="00215AD2" w:rsidRPr="00215AD2" w:rsidRDefault="002F678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частки, полностью или частично изъятые из хозяйственного использования и оборота с целью сохранения или восстановления особо важных для традиционной деятельности природных комплексов и природных ресурсов, для которых установлен особый правовой режим:</w:t>
      </w:r>
      <w:proofErr w:type="gramEnd"/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алый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Тренак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(административная граница с Амурской областью);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ур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едвежье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</w:t>
      </w:r>
      <w:r w:rsidR="002F678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2F6785">
        <w:rPr>
          <w:rFonts w:ascii="Times New Roman" w:eastAsia="Calibri" w:hAnsi="Times New Roman" w:cs="Times New Roman"/>
          <w:sz w:val="28"/>
          <w:szCs w:val="28"/>
        </w:rPr>
        <w:t>лим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 xml:space="preserve"> (с притоками).</w:t>
      </w:r>
    </w:p>
    <w:p w:rsidR="00215AD2" w:rsidRPr="00215AD2" w:rsidRDefault="002F678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частки ограниченного хозяйственного использования, в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которых допускается пользование природными ресурсами (лесопользование, водопользование, добыча общераспространенных полезных ископаемых) субъектами традиционного природопользования бе</w:t>
      </w:r>
      <w:r>
        <w:rPr>
          <w:rFonts w:ascii="Times New Roman" w:eastAsia="Calibri" w:hAnsi="Times New Roman" w:cs="Times New Roman"/>
          <w:sz w:val="28"/>
          <w:szCs w:val="28"/>
        </w:rPr>
        <w:t>звозмездно для собственных нужд: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развалины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Гидропорт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емкули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аксарин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D2" w:rsidRPr="00215AD2" w:rsidRDefault="002F6785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частки, на которых ограниченно допускаются определенные виды хозяйственной деятельности не субъектами традиционного природопользования для обеспечения кочевки оленей, водопоя животных, пользования объектами животного мира, проходов, проездов, водоснабжения, прокладки и эксплуатации линий электропередачи, связи и трубопроводов, строительства дорог и мостов: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годный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левый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7F7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="007F711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7F7115">
        <w:rPr>
          <w:rFonts w:ascii="Times New Roman" w:eastAsia="Calibri" w:hAnsi="Times New Roman" w:cs="Times New Roman"/>
          <w:sz w:val="28"/>
          <w:szCs w:val="28"/>
        </w:rPr>
        <w:t>оз</w:t>
      </w:r>
      <w:proofErr w:type="gramStart"/>
      <w:r w:rsidR="007F7115">
        <w:rPr>
          <w:rFonts w:ascii="Times New Roman" w:eastAsia="Calibri" w:hAnsi="Times New Roman" w:cs="Times New Roman"/>
          <w:sz w:val="28"/>
          <w:szCs w:val="28"/>
        </w:rPr>
        <w:t>.</w:t>
      </w:r>
      <w:r w:rsidR="002F678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2F6785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 xml:space="preserve"> на правом берегу </w:t>
      </w:r>
      <w:proofErr w:type="spellStart"/>
      <w:r w:rsidR="002F6785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D2" w:rsidRPr="00215AD2" w:rsidRDefault="002F6785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частки, на которых допускается хозяйственная деятельность не субъектами традиционного природопользования: </w:t>
      </w:r>
    </w:p>
    <w:p w:rsidR="00215AD2" w:rsidRPr="00215AD2" w:rsidRDefault="007F711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левый приток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•</w:t>
      </w:r>
      <w:r w:rsidRPr="00215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7F711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на правом бе</w:t>
      </w:r>
      <w:r w:rsidR="002F6785">
        <w:rPr>
          <w:rFonts w:ascii="Times New Roman" w:eastAsia="Calibri" w:hAnsi="Times New Roman" w:cs="Times New Roman"/>
          <w:sz w:val="28"/>
          <w:szCs w:val="28"/>
        </w:rPr>
        <w:t xml:space="preserve">регу </w:t>
      </w:r>
      <w:proofErr w:type="spellStart"/>
      <w:r w:rsidR="002F6785">
        <w:rPr>
          <w:rFonts w:ascii="Times New Roman" w:eastAsia="Calibri" w:hAnsi="Times New Roman" w:cs="Times New Roman"/>
          <w:sz w:val="28"/>
          <w:szCs w:val="28"/>
        </w:rPr>
        <w:t>р.Олекма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D2" w:rsidRPr="00215AD2" w:rsidRDefault="00215AD2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 указанной территории допускается хозяйственная деятельность, не связанная с традиционным природопользованием и традиционным образом жизни малочисленных народов (за исключением изыскательских и геологоразведочных работ, разработки полезных ископаемых, нарушения почвенного покрова, выходов минералов, обнажений горных пород), по согласованию с субъектами права традиционного природопользования и их общинами, Забайкальской региональной общественной организацией «Ассоциация коренных малочисленных народов Севера» и администрацией </w:t>
      </w:r>
      <w:r w:rsidR="00790551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="00790551">
        <w:rPr>
          <w:rFonts w:ascii="Times New Roman" w:eastAsia="Calibri" w:hAnsi="Times New Roman" w:cs="Times New Roman"/>
          <w:sz w:val="28"/>
          <w:szCs w:val="28"/>
        </w:rPr>
        <w:t>Тунгиро-Олекминский</w:t>
      </w:r>
      <w:proofErr w:type="spellEnd"/>
      <w:r w:rsidR="00790551">
        <w:rPr>
          <w:rFonts w:ascii="Times New Roman" w:eastAsia="Calibri" w:hAnsi="Times New Roman" w:cs="Times New Roman"/>
          <w:sz w:val="28"/>
          <w:szCs w:val="28"/>
        </w:rPr>
        <w:t xml:space="preserve"> район муниципальный</w:t>
      </w:r>
      <w:proofErr w:type="gramEnd"/>
      <w:r w:rsidR="0079055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края. </w:t>
      </w:r>
    </w:p>
    <w:p w:rsidR="00215AD2" w:rsidRPr="00592DD1" w:rsidRDefault="004962FD" w:rsidP="00D51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215AD2">
        <w:rPr>
          <w:rFonts w:ascii="Times New Roman" w:eastAsia="Calibri" w:hAnsi="Times New Roman" w:cs="Times New Roman"/>
          <w:sz w:val="28"/>
          <w:szCs w:val="28"/>
        </w:rPr>
        <w:t>)</w:t>
      </w:r>
      <w:r w:rsidR="001C6DB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части особой зоны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1F6DA0">
        <w:rPr>
          <w:rFonts w:ascii="Times New Roman" w:eastAsia="Calibri" w:hAnsi="Times New Roman" w:cs="Times New Roman"/>
          <w:sz w:val="28"/>
          <w:szCs w:val="28"/>
        </w:rPr>
        <w:t>»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 w:rsidR="00D51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592DD1">
        <w:rPr>
          <w:rFonts w:ascii="Times New Roman" w:eastAsia="Calibri" w:hAnsi="Times New Roman" w:cs="Times New Roman"/>
          <w:sz w:val="28"/>
          <w:szCs w:val="28"/>
        </w:rPr>
        <w:t xml:space="preserve">родовые захоронения – в верховьях правого притока </w:t>
      </w:r>
      <w:proofErr w:type="spellStart"/>
      <w:r w:rsidR="00215AD2" w:rsidRPr="00592DD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592DD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215AD2" w:rsidRPr="00592DD1">
        <w:rPr>
          <w:rFonts w:ascii="Times New Roman" w:eastAsia="Calibri" w:hAnsi="Times New Roman" w:cs="Times New Roman"/>
          <w:sz w:val="28"/>
          <w:szCs w:val="28"/>
        </w:rPr>
        <w:t>обдякит</w:t>
      </w:r>
      <w:proofErr w:type="spellEnd"/>
      <w:r w:rsidR="00215AD2" w:rsidRPr="00592D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5AD2" w:rsidRPr="00592DD1">
        <w:rPr>
          <w:rFonts w:ascii="Times New Roman" w:eastAsia="Calibri" w:hAnsi="Times New Roman" w:cs="Times New Roman"/>
          <w:sz w:val="28"/>
          <w:szCs w:val="28"/>
        </w:rPr>
        <w:t>р.Мокчали</w:t>
      </w:r>
      <w:proofErr w:type="spellEnd"/>
      <w:r w:rsidR="00215AD2" w:rsidRPr="00592DD1">
        <w:rPr>
          <w:rFonts w:ascii="Times New Roman" w:eastAsia="Calibri" w:hAnsi="Times New Roman" w:cs="Times New Roman"/>
          <w:sz w:val="28"/>
          <w:szCs w:val="28"/>
        </w:rPr>
        <w:t>, отметка 866 м.</w:t>
      </w:r>
    </w:p>
    <w:p w:rsidR="00215AD2" w:rsidRPr="00215AD2" w:rsidRDefault="00215AD2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 указанной территории запрещается деятельность, которая может нанести ущерб объектам 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растительного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и животного мира, культурно-историческим объектам, в том числе: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изыскательские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работы, геологоразведочные работы и разработка полезных ископаемых,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ab/>
        <w:t>нарушение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ab/>
        <w:t xml:space="preserve"> почвенного покрова, выходов минералов, обнажений горных пород; 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проведение сплошных рубок лесных насаждений в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, если это влечет за собой нарушения сохранности особой зоны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»</w:t>
      </w:r>
      <w:r w:rsidR="00790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предоставление земельных участков для строительства, за исключением строительства служебно-хозяйственных строений и временного жилья для ведения охотничьего промысла субъектами права традиционного природопользования;</w:t>
      </w:r>
    </w:p>
    <w:p w:rsidR="00215AD2" w:rsidRPr="00215AD2" w:rsidRDefault="00D51646" w:rsidP="00D516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нахождение с огнестрельным оружием, капканами и другими видами орудия добычи (вылова, охоты), а также с собаками или ловчими птицами без разрешительных документов в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Российской Федерации;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загрязнение и захламление территории любыми видами отходов;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самовольное ведение раскопок, сбор и вывоз предметов, имеющих историко-культурную ценность;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повреждение и уничтожение аншлагов, информационных щитов и плакатов, опознавательных столбов, сооружений и других видов собств</w:t>
      </w:r>
      <w:r w:rsidR="00790551">
        <w:rPr>
          <w:rFonts w:ascii="Times New Roman" w:eastAsia="Calibri" w:hAnsi="Times New Roman" w:cs="Times New Roman"/>
          <w:sz w:val="28"/>
          <w:szCs w:val="28"/>
        </w:rPr>
        <w:t>енности особой зоны «</w:t>
      </w:r>
      <w:proofErr w:type="spellStart"/>
      <w:r w:rsidR="00790551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79055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деятельность, угрожающая существованию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взятых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под охрану историко-культурных, историко-этнических объектов;</w:t>
      </w:r>
    </w:p>
    <w:p w:rsidR="00215AD2" w:rsidRPr="00215AD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заготовка песка, гравия, глины, растительного грунта и других природных материалов;</w:t>
      </w:r>
    </w:p>
    <w:p w:rsidR="00C81892" w:rsidRDefault="00D51646" w:rsidP="00D5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иные виды 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наносящие ущерб культовым местам или препятствующие возможностям использования их представителями малочисленных народов в качестве рел</w:t>
      </w:r>
      <w:r w:rsidR="00D21051">
        <w:rPr>
          <w:rFonts w:ascii="Times New Roman" w:eastAsia="Calibri" w:hAnsi="Times New Roman" w:cs="Times New Roman"/>
          <w:sz w:val="28"/>
          <w:szCs w:val="28"/>
        </w:rPr>
        <w:t xml:space="preserve">игиозно и священно почитаемых. 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7F7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60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1F6D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EB" w:rsidRPr="00296D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96DEB" w:rsidRPr="00296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Тунгиро-Олекминский</w:t>
      </w:r>
      <w:proofErr w:type="spellEnd"/>
      <w:r w:rsidR="00296DEB" w:rsidRPr="0029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Забайкальского края</w:t>
      </w:r>
      <w:r w:rsidR="0029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7F7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7F7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387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387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387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C7C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C72E9" w:rsidP="00387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387E65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A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387E65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A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387E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>
        <w:t>______________________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54" w:rsidRDefault="00904254" w:rsidP="00487ABD">
      <w:pPr>
        <w:spacing w:after="0" w:line="240" w:lineRule="auto"/>
      </w:pPr>
      <w:r>
        <w:separator/>
      </w:r>
    </w:p>
  </w:endnote>
  <w:endnote w:type="continuationSeparator" w:id="0">
    <w:p w:rsidR="00904254" w:rsidRDefault="00904254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54" w:rsidRDefault="00904254" w:rsidP="00487ABD">
      <w:pPr>
        <w:spacing w:after="0" w:line="240" w:lineRule="auto"/>
      </w:pPr>
      <w:r>
        <w:separator/>
      </w:r>
    </w:p>
  </w:footnote>
  <w:footnote w:type="continuationSeparator" w:id="0">
    <w:p w:rsidR="00904254" w:rsidRDefault="00904254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B0">
          <w:rPr>
            <w:noProof/>
          </w:rPr>
          <w:t>8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BA7C969C"/>
    <w:lvl w:ilvl="0" w:tplc="70828F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abstractNum w:abstractNumId="1">
    <w:nsid w:val="752A1F64"/>
    <w:multiLevelType w:val="hybridMultilevel"/>
    <w:tmpl w:val="026C6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50091"/>
    <w:rsid w:val="00051FDA"/>
    <w:rsid w:val="000737AF"/>
    <w:rsid w:val="000C72E9"/>
    <w:rsid w:val="00100D70"/>
    <w:rsid w:val="00106672"/>
    <w:rsid w:val="001240AB"/>
    <w:rsid w:val="0014239E"/>
    <w:rsid w:val="00161807"/>
    <w:rsid w:val="00177B7B"/>
    <w:rsid w:val="001A5492"/>
    <w:rsid w:val="001A5B02"/>
    <w:rsid w:val="001C6DB3"/>
    <w:rsid w:val="001F6DA0"/>
    <w:rsid w:val="001F7E76"/>
    <w:rsid w:val="00206E69"/>
    <w:rsid w:val="00215AD2"/>
    <w:rsid w:val="00216063"/>
    <w:rsid w:val="002246A8"/>
    <w:rsid w:val="00237FBB"/>
    <w:rsid w:val="0024348F"/>
    <w:rsid w:val="00252720"/>
    <w:rsid w:val="00252E68"/>
    <w:rsid w:val="00257269"/>
    <w:rsid w:val="00274A23"/>
    <w:rsid w:val="00296DEB"/>
    <w:rsid w:val="002E3AF1"/>
    <w:rsid w:val="002F6785"/>
    <w:rsid w:val="00384040"/>
    <w:rsid w:val="0038605D"/>
    <w:rsid w:val="00387E65"/>
    <w:rsid w:val="00424765"/>
    <w:rsid w:val="00426A1D"/>
    <w:rsid w:val="004327A9"/>
    <w:rsid w:val="0043436B"/>
    <w:rsid w:val="004744F0"/>
    <w:rsid w:val="00487ABD"/>
    <w:rsid w:val="00495D97"/>
    <w:rsid w:val="004962FD"/>
    <w:rsid w:val="004B6C4D"/>
    <w:rsid w:val="00516838"/>
    <w:rsid w:val="00590499"/>
    <w:rsid w:val="00590533"/>
    <w:rsid w:val="00592DD1"/>
    <w:rsid w:val="00596797"/>
    <w:rsid w:val="005A12A9"/>
    <w:rsid w:val="005D09A1"/>
    <w:rsid w:val="005D69AD"/>
    <w:rsid w:val="005E038D"/>
    <w:rsid w:val="005F0B38"/>
    <w:rsid w:val="00604D62"/>
    <w:rsid w:val="00617629"/>
    <w:rsid w:val="00624DA0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32CC9"/>
    <w:rsid w:val="00790551"/>
    <w:rsid w:val="007C7FA2"/>
    <w:rsid w:val="007F7115"/>
    <w:rsid w:val="00827590"/>
    <w:rsid w:val="0083078D"/>
    <w:rsid w:val="008E3299"/>
    <w:rsid w:val="009020C9"/>
    <w:rsid w:val="00904254"/>
    <w:rsid w:val="0091737A"/>
    <w:rsid w:val="009259EC"/>
    <w:rsid w:val="00933A3A"/>
    <w:rsid w:val="00934C05"/>
    <w:rsid w:val="00946DF5"/>
    <w:rsid w:val="00960912"/>
    <w:rsid w:val="0096606B"/>
    <w:rsid w:val="009A5B0F"/>
    <w:rsid w:val="009A75B0"/>
    <w:rsid w:val="009D3F71"/>
    <w:rsid w:val="009F3AFD"/>
    <w:rsid w:val="00A535C5"/>
    <w:rsid w:val="00A73124"/>
    <w:rsid w:val="00AC07F7"/>
    <w:rsid w:val="00AC126C"/>
    <w:rsid w:val="00AC2C73"/>
    <w:rsid w:val="00AF2325"/>
    <w:rsid w:val="00B23B3D"/>
    <w:rsid w:val="00B4440B"/>
    <w:rsid w:val="00B74161"/>
    <w:rsid w:val="00B8731D"/>
    <w:rsid w:val="00BF5B40"/>
    <w:rsid w:val="00C12062"/>
    <w:rsid w:val="00C220D9"/>
    <w:rsid w:val="00C22B94"/>
    <w:rsid w:val="00C26594"/>
    <w:rsid w:val="00C81892"/>
    <w:rsid w:val="00CE285E"/>
    <w:rsid w:val="00CF1900"/>
    <w:rsid w:val="00CF72F2"/>
    <w:rsid w:val="00D21051"/>
    <w:rsid w:val="00D51646"/>
    <w:rsid w:val="00D65B72"/>
    <w:rsid w:val="00D76751"/>
    <w:rsid w:val="00D81059"/>
    <w:rsid w:val="00DA7141"/>
    <w:rsid w:val="00DD3822"/>
    <w:rsid w:val="00DE4AC5"/>
    <w:rsid w:val="00DE5309"/>
    <w:rsid w:val="00DF623E"/>
    <w:rsid w:val="00E02C5A"/>
    <w:rsid w:val="00E245EF"/>
    <w:rsid w:val="00E24821"/>
    <w:rsid w:val="00E330A5"/>
    <w:rsid w:val="00E41BE8"/>
    <w:rsid w:val="00EE6159"/>
    <w:rsid w:val="00EF5804"/>
    <w:rsid w:val="00F53C7C"/>
    <w:rsid w:val="00F601FA"/>
    <w:rsid w:val="00F95D75"/>
    <w:rsid w:val="00FD060F"/>
    <w:rsid w:val="00FE03D6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2</cp:revision>
  <dcterms:created xsi:type="dcterms:W3CDTF">2023-01-18T00:09:00Z</dcterms:created>
  <dcterms:modified xsi:type="dcterms:W3CDTF">2023-01-18T00:09:00Z</dcterms:modified>
</cp:coreProperties>
</file>