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5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50"/>
        <w:gridCol w:w="3102"/>
        <w:gridCol w:w="3606"/>
      </w:tblGrid>
      <w:tr>
        <w:tblPrEx/>
        <w:trPr>
          <w:trHeight w:val="15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0" w:type="dxa"/>
            <w:textDirection w:val="lrTb"/>
            <w:noWrap w:val="false"/>
          </w:tcPr>
          <w:p>
            <w:pPr>
              <w:ind w:left="48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2" w:type="dxa"/>
            <w:textDirection w:val="lrTb"/>
            <w:noWrap w:val="false"/>
          </w:tcPr>
          <w:p>
            <w:pPr>
              <w:jc w:val="center"/>
              <w:tabs>
                <w:tab w:val="left" w:pos="1139" w:leader="none"/>
              </w:tabs>
              <w:rPr>
                <w:sz w:val="24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2499" cy="86795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2499" cy="8679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2.40pt;height:68.34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6" w:type="dxa"/>
            <w:textDirection w:val="lrTb"/>
            <w:noWrap w:val="false"/>
          </w:tcPr>
          <w:p>
            <w:pPr>
              <w:jc w:val="right"/>
              <w:tabs>
                <w:tab w:val="left" w:pos="1139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hd w:val="clear" w:color="auto" w:fill="ffffff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33"/>
          <w:szCs w:val="33"/>
        </w:rPr>
      </w:r>
    </w:p>
    <w:p>
      <w:pPr>
        <w:ind w:left="19"/>
        <w:jc w:val="center"/>
        <w:spacing w:before="130"/>
        <w:shd w:val="clear" w:color="auto" w:fill="ffffff"/>
        <w:rPr>
          <w:bCs/>
          <w:spacing w:val="-14"/>
          <w:sz w:val="6"/>
          <w:szCs w:val="6"/>
        </w:rPr>
        <w:outlineLvl w:val="0"/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  <w:sz w:val="6"/>
          <w:szCs w:val="6"/>
        </w:rPr>
      </w:r>
    </w:p>
    <w:p>
      <w:pPr>
        <w:ind w:left="19"/>
        <w:jc w:val="center"/>
        <w:spacing w:before="130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  <w:rPr>
          <w:sz w:val="24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sz w:val="24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О распределении дотаций, предоставляемых в 2024 году из бюджета Забайкальского края бюджетам муниципальных районов (муниципальных округов, городских округов) Забайкальского края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</w:r>
      <w:r>
        <w:rPr>
          <w:b/>
        </w:rPr>
      </w:r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pacing w:val="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статьей 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от 20 декабря 2011 года № 608-ЗЗК «О межбюджетных отношениях в Забайкальском крае»,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пунктом 13 Правил предоставления бюджетам муниципальных районов (муниципальных округов, городских округов) Забайкальского края дотаций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мер по обеспечению сбалансированности бюджетов муниципальных районов (муниципальных округов, городских округов) Забайкальского края из бюджета Забайкальского края, утвержденных постановлением Правительства Забайкальского края от 3 июня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  <w:t xml:space="preserve">№ 187, в целях обеспечения сбалансированности бюджетов муниципальных образований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44"/>
          <w:sz w:val="28"/>
          <w:szCs w:val="28"/>
        </w:rPr>
      </w:r>
    </w:p>
    <w:p>
      <w:pPr>
        <w:ind w:firstLine="708"/>
        <w:jc w:val="both"/>
      </w:pPr>
      <w:r>
        <w:tab/>
      </w:r>
      <w:r/>
    </w:p>
    <w:p>
      <w:pPr>
        <w:ind w:firstLine="709"/>
        <w:jc w:val="both"/>
      </w:pPr>
      <w:r>
        <w:t xml:space="preserve">Распределить дотации, предоставляемые в 2024 году из бюджета Забайкальского края бюджетам муниципальных районов (муниципальных округов, городских округов) Забайкальского края на поддержку мер по обеспечению сбалансирова</w:t>
      </w:r>
      <w:bookmarkStart w:id="0" w:name="_GoBack"/>
      <w:r/>
      <w:bookmarkEnd w:id="0"/>
      <w:r>
        <w:t xml:space="preserve">нности бюджетов муниципальных районов (муниципальных округов, городских округов) Забайкальского края в сумме 2 </w:t>
      </w:r>
      <w:r>
        <w:t xml:space="preserve">929</w:t>
      </w:r>
      <w:r>
        <w:t xml:space="preserve"> </w:t>
      </w:r>
      <w:r>
        <w:t xml:space="preserve">13</w:t>
      </w:r>
      <w:r>
        <w:t xml:space="preserve">7 (два миллиона </w:t>
      </w:r>
      <w:r>
        <w:t xml:space="preserve">девятьсот двадцать девять тысяч сто тридцать</w:t>
      </w:r>
      <w:r>
        <w:t xml:space="preserve"> семь) рублей</w:t>
      </w:r>
      <w:r>
        <w:rPr>
          <w:bCs/>
        </w:rPr>
        <w:t xml:space="preserve">,</w:t>
      </w:r>
      <w:r>
        <w:t xml:space="preserve"> согласно приложению к настоящему постановлению.</w:t>
      </w:r>
      <w:r/>
    </w:p>
    <w:p>
      <w:pPr>
        <w:jc w:val="both"/>
      </w:pPr>
      <w:r/>
      <w:r/>
    </w:p>
    <w:p>
      <w:pPr>
        <w:jc w:val="both"/>
      </w:pPr>
      <w:r/>
      <w:r/>
    </w:p>
    <w:p>
      <w:r>
        <w:t xml:space="preserve">Первый заместитель </w:t>
      </w:r>
      <w:r/>
    </w:p>
    <w:p>
      <w:r>
        <w:t xml:space="preserve">председателя Правительства </w:t>
      </w:r>
      <w:r/>
    </w:p>
    <w:p>
      <w:r>
        <w:t xml:space="preserve">Забайкальского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 xml:space="preserve">А.И.Кефер</w:t>
      </w:r>
      <w:r>
        <w:t xml:space="preserve"> </w:t>
      </w:r>
      <w:r/>
    </w:p>
    <w:p>
      <w:pPr>
        <w:ind w:left="5245"/>
        <w:jc w:val="center"/>
        <w:spacing w:line="360" w:lineRule="auto"/>
        <w:outlineLvl w:val="0"/>
      </w:pPr>
      <w:r>
        <w:t xml:space="preserve">ПРИЛОЖЕНИЕ</w:t>
      </w:r>
      <w:r/>
    </w:p>
    <w:p>
      <w:pPr>
        <w:ind w:left="5245"/>
        <w:jc w:val="center"/>
      </w:pPr>
      <w:r>
        <w:t xml:space="preserve">к постановлению Правительства</w:t>
      </w:r>
      <w:r/>
    </w:p>
    <w:p>
      <w:pPr>
        <w:ind w:left="5245"/>
        <w:jc w:val="center"/>
        <w:tabs>
          <w:tab w:val="left" w:pos="5670" w:leader="none"/>
        </w:tabs>
      </w:pPr>
      <w:r>
        <w:t xml:space="preserve">Забайкальского края</w:t>
      </w:r>
      <w:r/>
    </w:p>
    <w:p>
      <w:pPr>
        <w:jc w:val="center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p>
      <w:pPr>
        <w:jc w:val="center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РАСПРЕДЕЛЕНИЕ</w:t>
      </w:r>
      <w:r>
        <w:rPr>
          <w:b/>
        </w:rPr>
      </w:r>
    </w:p>
    <w:p>
      <w:pPr>
        <w:jc w:val="center"/>
        <w:rPr>
          <w:b/>
          <w:highlight w:val="yellow"/>
        </w:rPr>
      </w:pPr>
      <w:r>
        <w:rPr>
          <w:b/>
        </w:rPr>
        <w:t xml:space="preserve">дотаций, предоставляемых в 2024 году из бюджета За</w:t>
      </w:r>
      <w:r>
        <w:rPr>
          <w:b/>
        </w:rPr>
        <w:t xml:space="preserve">байкальского края бюджетам муниципальных районов (муниципальных округов, городских округов) Забайкальского края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</w:r>
      <w:r>
        <w:rPr>
          <w:b/>
          <w:highlight w:val="yellow"/>
        </w:rPr>
      </w:r>
    </w:p>
    <w:p>
      <w:pPr>
        <w:jc w:val="center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tbl>
      <w:tblPr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410"/>
      </w:tblGrid>
      <w:tr>
        <w:tblPrEx/>
        <w:trPr>
          <w:trHeight w:val="1551"/>
          <w:tblHeader/>
        </w:trPr>
        <w:tc>
          <w:tcPr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tcW w:w="6095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бюджетов муниципальных образований Забайкальского края</w:t>
            </w:r>
            <w:r>
              <w:rPr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рублей</w:t>
            </w:r>
            <w:r>
              <w:rPr>
                <w:b/>
                <w:bCs/>
              </w:rPr>
            </w:r>
          </w:p>
        </w:tc>
      </w:tr>
    </w:tbl>
    <w:p>
      <w:pPr>
        <w:rPr>
          <w:sz w:val="2"/>
          <w:szCs w:val="2"/>
          <w:highlight w:val="yellow"/>
        </w:rPr>
      </w:pP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</w:p>
    <w:tbl>
      <w:tblPr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410"/>
      </w:tblGrid>
      <w:tr>
        <w:tblPrEx/>
        <w:trPr>
          <w:trHeight w:val="257"/>
          <w:tblHeader/>
        </w:trPr>
        <w:tc>
          <w:tcPr>
            <w:tcW w:w="709" w:type="dxa"/>
            <w:textDirection w:val="lrTb"/>
            <w:noWrap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6095" w:type="dxa"/>
            <w:textDirection w:val="lrTb"/>
            <w:noWrap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«Агинский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172 414,0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«Борзинский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307 104,0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</w:t>
            </w:r>
            <w:r>
              <w:t xml:space="preserve">Калганского</w:t>
            </w:r>
            <w:r>
              <w:t xml:space="preserve"> муниципального округа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74 173,0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«Кыринский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296 690,0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5.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</w:t>
            </w:r>
            <w:r>
              <w:t xml:space="preserve">Могочинского</w:t>
            </w:r>
            <w:r>
              <w:t xml:space="preserve"> муниципального округа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58 091,0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6.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«Оловяннинский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137 931,0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7.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муниципального района «Ононский район»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42 311,0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8.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Приаргунского муниципального округа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283 793,0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</w:t>
            </w:r>
            <w:r>
              <w:t xml:space="preserve">Тунгокоченского</w:t>
            </w:r>
            <w:r>
              <w:t xml:space="preserve"> муниципального округа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269 380,0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pPr>
              <w:widowControl w:val="off"/>
            </w:pPr>
            <w:r>
              <w:rPr>
                <w:bCs/>
              </w:rPr>
              <w:t xml:space="preserve">Бюджет муниципального района «</w:t>
            </w:r>
            <w:r>
              <w:rPr>
                <w:bCs/>
              </w:rPr>
              <w:t xml:space="preserve">Улётовский</w:t>
            </w:r>
            <w:r>
              <w:rPr>
                <w:bCs/>
              </w:rPr>
              <w:t xml:space="preserve"> район», преобразованного в </w:t>
            </w:r>
            <w:r>
              <w:rPr>
                <w:bCs/>
              </w:rPr>
              <w:t xml:space="preserve">Улётовский</w:t>
            </w:r>
            <w:r>
              <w:rPr>
                <w:bCs/>
              </w:rPr>
              <w:t xml:space="preserve"> муниципальный округ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71 380,0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11.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муниципального района «Хилокский район»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124 071,0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12.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муниципального района «Шилкинский район»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258 484,0</w:t>
            </w:r>
            <w:r/>
          </w:p>
        </w:tc>
      </w:tr>
      <w:tr>
        <w:tblPrEx/>
        <w:trPr>
          <w:trHeight w:val="534"/>
        </w:trPr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13.</w:t>
            </w:r>
            <w:r/>
          </w:p>
        </w:tc>
        <w:tc>
          <w:tcPr>
            <w:tcW w:w="6095" w:type="dxa"/>
            <w:vMerge w:val="restart"/>
            <w:textDirection w:val="lrTb"/>
            <w:noWrap/>
          </w:tcPr>
          <w:p>
            <w:r>
              <w:t xml:space="preserve">Бюджет городского округа «Поселок Агинское» Забайкальского края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210 311,0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14.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городского округа «Город Чита»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620 690,0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15.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городского округа закрытое административно-территориальное образование п. Горный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2 314,0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6095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 929 137,0</w:t>
            </w:r>
            <w:r>
              <w:rPr>
                <w:b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>
        <w:t xml:space="preserve">__________________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19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center"/>
    </w:pPr>
    <w:r/>
    <w:r/>
  </w:p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11"/>
    <w:uiPriority w:val="10"/>
    <w:rPr>
      <w:sz w:val="48"/>
      <w:szCs w:val="48"/>
    </w:rPr>
  </w:style>
  <w:style w:type="character" w:styleId="37">
    <w:name w:val="Subtitle Char"/>
    <w:basedOn w:val="697"/>
    <w:link w:val="713"/>
    <w:uiPriority w:val="11"/>
    <w:rPr>
      <w:sz w:val="24"/>
      <w:szCs w:val="24"/>
    </w:rPr>
  </w:style>
  <w:style w:type="character" w:styleId="39">
    <w:name w:val="Quote Char"/>
    <w:link w:val="715"/>
    <w:uiPriority w:val="29"/>
    <w:rPr>
      <w:i/>
    </w:rPr>
  </w:style>
  <w:style w:type="character" w:styleId="41">
    <w:name w:val="Intense Quote Char"/>
    <w:link w:val="717"/>
    <w:uiPriority w:val="30"/>
    <w:rPr>
      <w:i/>
    </w:rPr>
  </w:style>
  <w:style w:type="character" w:styleId="176">
    <w:name w:val="Footnote Text Char"/>
    <w:link w:val="852"/>
    <w:uiPriority w:val="99"/>
    <w:rPr>
      <w:sz w:val="18"/>
    </w:rPr>
  </w:style>
  <w:style w:type="character" w:styleId="179">
    <w:name w:val="Endnote Text Char"/>
    <w:link w:val="855"/>
    <w:uiPriority w:val="99"/>
    <w:rPr>
      <w:sz w:val="20"/>
    </w:rPr>
  </w:style>
  <w:style w:type="paragraph" w:styleId="687" w:default="1">
    <w:name w:val="Normal"/>
    <w:qFormat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7"/>
    <w:uiPriority w:val="34"/>
    <w:qFormat/>
    <w:pPr>
      <w:contextualSpacing/>
      <w:ind w:left="720"/>
    </w:pPr>
  </w:style>
  <w:style w:type="paragraph" w:styleId="710">
    <w:name w:val="No Spacing"/>
    <w:uiPriority w:val="1"/>
    <w:qFormat/>
  </w:style>
  <w:style w:type="paragraph" w:styleId="711">
    <w:name w:val="Title"/>
    <w:basedOn w:val="687"/>
    <w:next w:val="68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link w:val="711"/>
    <w:uiPriority w:val="10"/>
    <w:rPr>
      <w:sz w:val="48"/>
      <w:szCs w:val="48"/>
    </w:rPr>
  </w:style>
  <w:style w:type="paragraph" w:styleId="713">
    <w:name w:val="Subtitle"/>
    <w:basedOn w:val="687"/>
    <w:next w:val="68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 w:customStyle="1">
    <w:name w:val="Подзаголовок Знак"/>
    <w:link w:val="713"/>
    <w:uiPriority w:val="11"/>
    <w:rPr>
      <w:sz w:val="24"/>
      <w:szCs w:val="24"/>
    </w:rPr>
  </w:style>
  <w:style w:type="paragraph" w:styleId="715">
    <w:name w:val="Quote"/>
    <w:basedOn w:val="687"/>
    <w:next w:val="687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7"/>
    <w:next w:val="687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paragraph" w:styleId="719">
    <w:name w:val="Header"/>
    <w:basedOn w:val="687"/>
    <w:link w:val="87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0" w:customStyle="1">
    <w:name w:val="Header Char"/>
    <w:uiPriority w:val="99"/>
  </w:style>
  <w:style w:type="paragraph" w:styleId="721">
    <w:name w:val="Footer"/>
    <w:basedOn w:val="687"/>
    <w:link w:val="872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22" w:customStyle="1">
    <w:name w:val="Footer Char"/>
    <w:uiPriority w:val="99"/>
  </w:style>
  <w:style w:type="paragraph" w:styleId="723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 w:customStyle="1">
    <w:name w:val="Caption Char"/>
    <w:uiPriority w:val="99"/>
  </w:style>
  <w:style w:type="table" w:styleId="725">
    <w:name w:val="Table Grid"/>
    <w:basedOn w:val="698"/>
    <w:uiPriority w:val="59"/>
    <w:rPr>
      <w:rFonts w:ascii="Times New Roman" w:hAnsi="Times New Roman" w:cs="Times New Roman"/>
    </w:rPr>
    <w:tblPr/>
  </w:style>
  <w:style w:type="table" w:styleId="72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687"/>
    <w:link w:val="853"/>
    <w:uiPriority w:val="99"/>
    <w:semiHidden/>
    <w:unhideWhenUsed/>
    <w:pPr>
      <w:spacing w:after="40"/>
    </w:pPr>
    <w:rPr>
      <w:sz w:val="18"/>
    </w:rPr>
  </w:style>
  <w:style w:type="character" w:styleId="853" w:customStyle="1">
    <w:name w:val="Текст сноски Знак"/>
    <w:link w:val="852"/>
    <w:uiPriority w:val="99"/>
    <w:rPr>
      <w:sz w:val="18"/>
    </w:rPr>
  </w:style>
  <w:style w:type="character" w:styleId="854">
    <w:name w:val="footnote reference"/>
    <w:uiPriority w:val="99"/>
    <w:unhideWhenUsed/>
    <w:rPr>
      <w:vertAlign w:val="superscript"/>
    </w:rPr>
  </w:style>
  <w:style w:type="paragraph" w:styleId="855">
    <w:name w:val="endnote text"/>
    <w:basedOn w:val="687"/>
    <w:link w:val="856"/>
    <w:uiPriority w:val="99"/>
    <w:semiHidden/>
    <w:unhideWhenUsed/>
    <w:rPr>
      <w:sz w:val="20"/>
    </w:rPr>
  </w:style>
  <w:style w:type="character" w:styleId="856" w:customStyle="1">
    <w:name w:val="Текст концевой сноски Знак"/>
    <w:link w:val="855"/>
    <w:uiPriority w:val="99"/>
    <w:rPr>
      <w:sz w:val="20"/>
    </w:rPr>
  </w:style>
  <w:style w:type="character" w:styleId="857">
    <w:name w:val="endnote reference"/>
    <w:uiPriority w:val="99"/>
    <w:semiHidden/>
    <w:unhideWhenUsed/>
    <w:rPr>
      <w:vertAlign w:val="superscript"/>
    </w:rPr>
  </w:style>
  <w:style w:type="paragraph" w:styleId="858">
    <w:name w:val="toc 1"/>
    <w:basedOn w:val="687"/>
    <w:next w:val="687"/>
    <w:uiPriority w:val="39"/>
    <w:unhideWhenUsed/>
    <w:pPr>
      <w:spacing w:after="57"/>
    </w:pPr>
  </w:style>
  <w:style w:type="paragraph" w:styleId="859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0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1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2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3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4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65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6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687"/>
    <w:next w:val="687"/>
    <w:uiPriority w:val="99"/>
    <w:unhideWhenUsed/>
  </w:style>
  <w:style w:type="paragraph" w:styleId="869">
    <w:name w:val="Balloon Text"/>
    <w:basedOn w:val="687"/>
    <w:link w:val="87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70" w:customStyle="1">
    <w:name w:val="Текст выноски Знак"/>
    <w:link w:val="869"/>
    <w:uiPriority w:val="99"/>
    <w:semiHidden/>
    <w:rPr>
      <w:rFonts w:ascii="Tahoma" w:hAnsi="Tahoma" w:cs="Tahoma"/>
      <w:color w:val="000000"/>
      <w:sz w:val="16"/>
      <w:szCs w:val="16"/>
      <w:lang w:val="en-US" w:eastAsia="ru-RU"/>
    </w:rPr>
  </w:style>
  <w:style w:type="character" w:styleId="871" w:customStyle="1">
    <w:name w:val="Верхний колонтитул Знак"/>
    <w:link w:val="719"/>
    <w:uiPriority w:val="99"/>
    <w:rPr>
      <w:rFonts w:ascii="Times New Roman" w:hAnsi="Times New Roman" w:cs="Times New Roman"/>
      <w:color w:val="000000"/>
      <w:sz w:val="28"/>
      <w:szCs w:val="28"/>
      <w:lang w:val="en-US" w:eastAsia="ru-RU"/>
    </w:rPr>
  </w:style>
  <w:style w:type="character" w:styleId="872" w:customStyle="1">
    <w:name w:val="Нижний колонтитул Знак"/>
    <w:link w:val="721"/>
    <w:uiPriority w:val="99"/>
    <w:rPr>
      <w:rFonts w:ascii="Times New Roman" w:hAnsi="Times New Roman" w:cs="Times New Roman"/>
      <w:color w:val="000000"/>
      <w:sz w:val="28"/>
      <w:szCs w:val="28"/>
      <w:lang w:val="en-US" w:eastAsia="ru-RU"/>
    </w:rPr>
  </w:style>
  <w:style w:type="paragraph" w:styleId="873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74">
    <w:name w:val="Document Map"/>
    <w:basedOn w:val="687"/>
    <w:link w:val="87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75" w:customStyle="1">
    <w:name w:val="Схема документа Знак"/>
    <w:link w:val="874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KOMPOFIN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86</cp:revision>
  <dcterms:created xsi:type="dcterms:W3CDTF">2022-08-10T00:12:00Z</dcterms:created>
  <dcterms:modified xsi:type="dcterms:W3CDTF">2024-11-13T01:52:31Z</dcterms:modified>
  <cp:version>1048576</cp:version>
</cp:coreProperties>
</file>