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3F91C" w14:textId="454D4596" w:rsidR="00462382" w:rsidRDefault="0077003C">
      <w:pPr>
        <w:shd w:val="clear" w:color="auto" w:fill="FFFFFF"/>
        <w:jc w:val="center"/>
        <w:rPr>
          <w:b/>
          <w:spacing w:val="-11"/>
          <w:sz w:val="33"/>
          <w:szCs w:val="33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B7DA363" wp14:editId="7E4201D5">
            <wp:extent cx="79057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8ECC" w14:textId="77777777" w:rsidR="00462382" w:rsidRPr="00034593" w:rsidRDefault="00462382">
      <w:pPr>
        <w:shd w:val="clear" w:color="auto" w:fill="FFFFFF"/>
        <w:jc w:val="center"/>
        <w:rPr>
          <w:b/>
          <w:spacing w:val="-11"/>
          <w:sz w:val="4"/>
          <w:szCs w:val="4"/>
        </w:rPr>
      </w:pPr>
    </w:p>
    <w:p w14:paraId="4F9B09F7" w14:textId="77777777" w:rsidR="00631360" w:rsidRDefault="00462382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09DA2B1D" w14:textId="77777777" w:rsidR="00631360" w:rsidRDefault="00462382">
      <w:pPr>
        <w:shd w:val="clear" w:color="auto" w:fill="FFFFFF"/>
        <w:spacing w:before="130"/>
        <w:ind w:left="19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11B4BDF9" w14:textId="77777777" w:rsidR="00631360" w:rsidRDefault="00631360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</w:p>
    <w:p w14:paraId="5DE8A30A" w14:textId="77777777" w:rsidR="00631360" w:rsidRDefault="00462382"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>г. Чита</w:t>
      </w:r>
    </w:p>
    <w:p w14:paraId="40C3AF91" w14:textId="77777777" w:rsidR="00631360" w:rsidRDefault="00631360">
      <w:pPr>
        <w:jc w:val="center"/>
      </w:pPr>
    </w:p>
    <w:p w14:paraId="2E332DF6" w14:textId="77777777" w:rsidR="00631360" w:rsidRDefault="00631360">
      <w:pPr>
        <w:jc w:val="center"/>
      </w:pPr>
    </w:p>
    <w:p w14:paraId="7C76F980" w14:textId="77777777" w:rsidR="00631360" w:rsidRDefault="00462382">
      <w:pPr>
        <w:jc w:val="center"/>
        <w:rPr>
          <w:b/>
        </w:rPr>
      </w:pPr>
      <w:r>
        <w:rPr>
          <w:rStyle w:val="docdata"/>
          <w:rFonts w:eastAsia="Arial"/>
          <w:b/>
          <w:bCs/>
        </w:rPr>
        <w:t xml:space="preserve">О </w:t>
      </w:r>
      <w:r>
        <w:rPr>
          <w:b/>
          <w:bCs/>
        </w:rPr>
        <w:t xml:space="preserve">внесении изменений в постановление Правительства </w:t>
      </w:r>
      <w:r>
        <w:rPr>
          <w:b/>
          <w:bCs/>
        </w:rPr>
        <w:br/>
        <w:t>Забайкальского края от 30 мая 2024 года № 259</w:t>
      </w:r>
    </w:p>
    <w:p w14:paraId="7B4E9A1C" w14:textId="77777777" w:rsidR="00631360" w:rsidRDefault="00631360">
      <w:pPr>
        <w:jc w:val="center"/>
        <w:rPr>
          <w:highlight w:val="yellow"/>
        </w:rPr>
      </w:pPr>
    </w:p>
    <w:p w14:paraId="117B12B2" w14:textId="77777777" w:rsidR="00462382" w:rsidRDefault="00462382">
      <w:pPr>
        <w:jc w:val="center"/>
        <w:rPr>
          <w:highlight w:val="yellow"/>
        </w:rPr>
      </w:pPr>
    </w:p>
    <w:p w14:paraId="3988E725" w14:textId="77777777" w:rsidR="00631360" w:rsidRDefault="00462382">
      <w:pPr>
        <w:pStyle w:val="ConsPlusNormal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14:paraId="54183DEC" w14:textId="77777777" w:rsidR="00462382" w:rsidRDefault="00462382">
      <w:pPr>
        <w:ind w:firstLine="709"/>
        <w:jc w:val="both"/>
      </w:pPr>
    </w:p>
    <w:p w14:paraId="410C6B83" w14:textId="77777777" w:rsidR="00631360" w:rsidRDefault="003B4709">
      <w:pPr>
        <w:ind w:firstLine="709"/>
        <w:jc w:val="both"/>
      </w:pPr>
      <w:r>
        <w:rPr>
          <w:rStyle w:val="docdata"/>
          <w:rFonts w:eastAsia="Arial"/>
        </w:rPr>
        <w:t xml:space="preserve">Внести </w:t>
      </w:r>
      <w:r w:rsidR="00462382">
        <w:rPr>
          <w:rStyle w:val="docdata"/>
          <w:rFonts w:eastAsia="Arial"/>
        </w:rPr>
        <w:t>в постановление Правительства Забайкальского края от 30 мая 2024 года №</w:t>
      </w:r>
      <w:r w:rsidR="00FF40F4">
        <w:rPr>
          <w:rStyle w:val="docdata"/>
          <w:rFonts w:eastAsia="Arial"/>
        </w:rPr>
        <w:t xml:space="preserve"> </w:t>
      </w:r>
      <w:r w:rsidR="00462382">
        <w:rPr>
          <w:rStyle w:val="docdata"/>
          <w:rFonts w:eastAsia="Arial"/>
        </w:rPr>
        <w:t>259</w:t>
      </w:r>
      <w:r w:rsidR="00FF40F4">
        <w:rPr>
          <w:rStyle w:val="docdata"/>
          <w:rFonts w:eastAsia="Arial"/>
        </w:rPr>
        <w:t xml:space="preserve"> </w:t>
      </w:r>
      <w:r w:rsidR="00462382">
        <w:t>«</w:t>
      </w:r>
      <w:r w:rsidR="00462382">
        <w:rPr>
          <w:rStyle w:val="docdata"/>
          <w:rFonts w:eastAsia="Arial"/>
        </w:rPr>
        <w:t>О распределении дотаций, предоставляемых в 202</w:t>
      </w:r>
      <w:r w:rsidR="00462382">
        <w:t>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Забайкальского края»</w:t>
      </w:r>
      <w:r>
        <w:t xml:space="preserve"> следующие изменения:</w:t>
      </w:r>
    </w:p>
    <w:p w14:paraId="14856632" w14:textId="77777777" w:rsidR="00462382" w:rsidRPr="003B4709" w:rsidRDefault="003B4709" w:rsidP="003B4709">
      <w:pPr>
        <w:pStyle w:val="af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в</w:t>
      </w:r>
      <w:r w:rsidR="00462382" w:rsidRPr="00462382">
        <w:rPr>
          <w:color w:val="000000"/>
          <w:sz w:val="28"/>
          <w:szCs w:val="28"/>
        </w:rPr>
        <w:t xml:space="preserve"> </w:t>
      </w:r>
      <w:r w:rsidR="00462382" w:rsidRPr="00462382">
        <w:rPr>
          <w:color w:val="000000"/>
          <w:sz w:val="28"/>
          <w:szCs w:val="28"/>
          <w:highlight w:val="white"/>
          <w:shd w:val="clear" w:color="FFFFFF" w:fill="FFFFFF"/>
        </w:rPr>
        <w:t>постановляющей части с</w:t>
      </w:r>
      <w:r w:rsidR="00462382" w:rsidRPr="00462382">
        <w:rPr>
          <w:color w:val="000000"/>
          <w:sz w:val="28"/>
          <w:szCs w:val="28"/>
        </w:rPr>
        <w:t xml:space="preserve">лова «45 580 000,0 (сорок пять миллионов пятьсот восемьдесят тысяч) рублей» заменить словами «15 156 273 (пятнадцать </w:t>
      </w:r>
      <w:r w:rsidR="00462382" w:rsidRPr="003B4709">
        <w:rPr>
          <w:color w:val="000000"/>
          <w:sz w:val="28"/>
          <w:szCs w:val="28"/>
        </w:rPr>
        <w:t>миллионов сто пятьдесят шесть тысяч двести семьдесят три) рубля 82 копейки»;</w:t>
      </w:r>
    </w:p>
    <w:p w14:paraId="5CAE4B54" w14:textId="77777777" w:rsidR="00462382" w:rsidRPr="003B4709" w:rsidRDefault="003B4709" w:rsidP="003B4709">
      <w:pPr>
        <w:pStyle w:val="afe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709">
        <w:rPr>
          <w:color w:val="000000"/>
          <w:sz w:val="28"/>
          <w:szCs w:val="28"/>
        </w:rPr>
        <w:t>2) п</w:t>
      </w:r>
      <w:r w:rsidR="00462382" w:rsidRPr="003B4709">
        <w:rPr>
          <w:color w:val="000000"/>
          <w:sz w:val="28"/>
          <w:szCs w:val="28"/>
        </w:rPr>
        <w:t>риложение изложить в следующей редакции:</w:t>
      </w:r>
    </w:p>
    <w:p w14:paraId="258CB414" w14:textId="77777777" w:rsidR="003B4709" w:rsidRDefault="003B4709" w:rsidP="003B4709">
      <w:pPr>
        <w:autoSpaceDE w:val="0"/>
        <w:autoSpaceDN w:val="0"/>
        <w:adjustRightInd w:val="0"/>
        <w:spacing w:line="360" w:lineRule="auto"/>
        <w:ind w:left="4820"/>
        <w:jc w:val="center"/>
        <w:outlineLvl w:val="0"/>
      </w:pPr>
    </w:p>
    <w:p w14:paraId="21E51F96" w14:textId="77777777" w:rsidR="003B4709" w:rsidRPr="00DA0A7A" w:rsidRDefault="000D3A90" w:rsidP="003B4709">
      <w:pPr>
        <w:spacing w:line="360" w:lineRule="auto"/>
        <w:ind w:left="4820"/>
        <w:jc w:val="center"/>
        <w:outlineLvl w:val="0"/>
      </w:pPr>
      <w:r>
        <w:t>«</w:t>
      </w:r>
      <w:r w:rsidR="003B4709" w:rsidRPr="00DA0A7A">
        <w:t>ПРИЛОЖЕНИЕ</w:t>
      </w:r>
    </w:p>
    <w:p w14:paraId="6DF9796F" w14:textId="77777777" w:rsidR="003B4709" w:rsidRPr="00DA0A7A" w:rsidRDefault="003B4709" w:rsidP="003B4709">
      <w:pPr>
        <w:ind w:left="4820"/>
        <w:jc w:val="center"/>
      </w:pPr>
      <w:r w:rsidRPr="00DA0A7A">
        <w:t>к постановлению Правительства</w:t>
      </w:r>
    </w:p>
    <w:p w14:paraId="16B47D28" w14:textId="77777777" w:rsidR="003B4709" w:rsidRDefault="003B4709" w:rsidP="003B4709">
      <w:pPr>
        <w:tabs>
          <w:tab w:val="left" w:pos="5670"/>
        </w:tabs>
        <w:ind w:left="4820"/>
        <w:jc w:val="center"/>
      </w:pPr>
      <w:r w:rsidRPr="00DA0A7A">
        <w:t>Забайкальского края</w:t>
      </w:r>
    </w:p>
    <w:p w14:paraId="25321550" w14:textId="77777777" w:rsidR="000D3A90" w:rsidRPr="003B4709" w:rsidRDefault="003B4709" w:rsidP="003B4709">
      <w:pPr>
        <w:tabs>
          <w:tab w:val="left" w:pos="5670"/>
        </w:tabs>
        <w:ind w:left="4820"/>
        <w:jc w:val="center"/>
      </w:pPr>
      <w:r>
        <w:t>от 30 мая 2024 года № 259</w:t>
      </w:r>
      <w:r w:rsidR="000D3A90">
        <w:rPr>
          <w:color w:val="auto"/>
          <w:lang w:eastAsia="zh-CN"/>
        </w:rPr>
        <w:br/>
      </w:r>
      <w:r w:rsidR="000D3A90" w:rsidRPr="00465E65">
        <w:rPr>
          <w:bCs/>
          <w:color w:val="auto"/>
          <w:lang w:eastAsia="zh-CN"/>
        </w:rPr>
        <w:t>(в редакции постановления Правительства</w:t>
      </w:r>
      <w:r w:rsidR="000D3A90">
        <w:rPr>
          <w:bCs/>
          <w:color w:val="auto"/>
          <w:lang w:eastAsia="zh-CN"/>
        </w:rPr>
        <w:t xml:space="preserve"> </w:t>
      </w:r>
      <w:r w:rsidR="000D3A90" w:rsidRPr="00465E65">
        <w:rPr>
          <w:bCs/>
          <w:color w:val="auto"/>
          <w:lang w:eastAsia="zh-CN"/>
        </w:rPr>
        <w:t>Забайкальского края</w:t>
      </w:r>
    </w:p>
    <w:p w14:paraId="0D68773B" w14:textId="77777777" w:rsidR="000D3A90" w:rsidRPr="00465E65" w:rsidRDefault="000D3A90" w:rsidP="00F33496">
      <w:pPr>
        <w:autoSpaceDE w:val="0"/>
        <w:autoSpaceDN w:val="0"/>
        <w:adjustRightInd w:val="0"/>
        <w:ind w:left="4962"/>
        <w:jc w:val="right"/>
        <w:rPr>
          <w:bCs/>
          <w:color w:val="auto"/>
          <w:lang w:eastAsia="zh-CN"/>
        </w:rPr>
      </w:pPr>
      <w:r w:rsidRPr="00465E65">
        <w:rPr>
          <w:bCs/>
          <w:color w:val="auto"/>
          <w:lang w:eastAsia="zh-CN"/>
        </w:rPr>
        <w:t>)</w:t>
      </w:r>
    </w:p>
    <w:p w14:paraId="7BB2CBC0" w14:textId="77777777" w:rsidR="00F33496" w:rsidRPr="00F33496" w:rsidRDefault="00F33496" w:rsidP="00F33496">
      <w:pPr>
        <w:jc w:val="center"/>
        <w:outlineLvl w:val="0"/>
        <w:rPr>
          <w:b/>
        </w:rPr>
      </w:pPr>
    </w:p>
    <w:p w14:paraId="153F833B" w14:textId="77777777" w:rsidR="00631360" w:rsidRDefault="00462382">
      <w:pPr>
        <w:jc w:val="center"/>
        <w:outlineLvl w:val="0"/>
        <w:rPr>
          <w:b/>
        </w:rPr>
      </w:pPr>
      <w:r>
        <w:rPr>
          <w:b/>
        </w:rPr>
        <w:t>РАСПРЕДЕЛЕНИЕ</w:t>
      </w:r>
    </w:p>
    <w:p w14:paraId="409A394A" w14:textId="77777777" w:rsidR="00631360" w:rsidRDefault="00462382">
      <w:pPr>
        <w:jc w:val="center"/>
        <w:rPr>
          <w:b/>
          <w:highlight w:val="yellow"/>
        </w:rPr>
      </w:pPr>
      <w:r>
        <w:rPr>
          <w:b/>
        </w:rPr>
        <w:t>дотаций, предоставляемых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</w:p>
    <w:p w14:paraId="779490F7" w14:textId="77777777" w:rsidR="00631360" w:rsidRDefault="00631360">
      <w:pPr>
        <w:jc w:val="center"/>
        <w:rPr>
          <w:b/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 w:rsidR="00631360" w:rsidRPr="003B4709" w14:paraId="05112879" w14:textId="77777777">
        <w:trPr>
          <w:trHeight w:val="1551"/>
          <w:tblHeader/>
        </w:trPr>
        <w:tc>
          <w:tcPr>
            <w:tcW w:w="709" w:type="dxa"/>
            <w:noWrap/>
            <w:vAlign w:val="center"/>
          </w:tcPr>
          <w:p w14:paraId="198A3FB4" w14:textId="77777777" w:rsidR="00631360" w:rsidRPr="003B4709" w:rsidRDefault="00462382">
            <w:pPr>
              <w:jc w:val="center"/>
              <w:rPr>
                <w:b/>
              </w:rPr>
            </w:pPr>
            <w:r w:rsidRPr="003B4709">
              <w:rPr>
                <w:b/>
              </w:rPr>
              <w:t>№ п/п</w:t>
            </w:r>
          </w:p>
        </w:tc>
        <w:tc>
          <w:tcPr>
            <w:tcW w:w="6095" w:type="dxa"/>
            <w:noWrap/>
            <w:vAlign w:val="center"/>
          </w:tcPr>
          <w:p w14:paraId="67BAAC7D" w14:textId="77777777" w:rsidR="00631360" w:rsidRPr="003B4709" w:rsidRDefault="00462382" w:rsidP="003B4709">
            <w:pPr>
              <w:jc w:val="center"/>
              <w:rPr>
                <w:b/>
              </w:rPr>
            </w:pPr>
            <w:r w:rsidRPr="003B4709">
              <w:rPr>
                <w:b/>
              </w:rPr>
              <w:t>Наименование бюджетов муниципальных районов, муниципальных округов Забайкальского края</w:t>
            </w:r>
          </w:p>
        </w:tc>
        <w:tc>
          <w:tcPr>
            <w:tcW w:w="2410" w:type="dxa"/>
            <w:vAlign w:val="center"/>
          </w:tcPr>
          <w:p w14:paraId="7F7817EA" w14:textId="77777777" w:rsidR="00631360" w:rsidRPr="003B4709" w:rsidRDefault="00462382">
            <w:pPr>
              <w:jc w:val="center"/>
              <w:rPr>
                <w:b/>
                <w:bCs/>
              </w:rPr>
            </w:pPr>
            <w:r w:rsidRPr="003B4709">
              <w:rPr>
                <w:b/>
                <w:bCs/>
              </w:rPr>
              <w:t xml:space="preserve">Сумма, </w:t>
            </w:r>
          </w:p>
          <w:p w14:paraId="3D3A6A6A" w14:textId="77777777" w:rsidR="00631360" w:rsidRPr="003B4709" w:rsidRDefault="00462382">
            <w:pPr>
              <w:jc w:val="center"/>
              <w:rPr>
                <w:b/>
                <w:bCs/>
              </w:rPr>
            </w:pPr>
            <w:r w:rsidRPr="003B4709">
              <w:rPr>
                <w:b/>
                <w:bCs/>
              </w:rPr>
              <w:t xml:space="preserve"> рублей</w:t>
            </w:r>
          </w:p>
        </w:tc>
      </w:tr>
    </w:tbl>
    <w:p w14:paraId="7E4A53C3" w14:textId="77777777" w:rsidR="00631360" w:rsidRPr="003B4709" w:rsidRDefault="00631360">
      <w:pPr>
        <w:rPr>
          <w:sz w:val="2"/>
          <w:szCs w:val="2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 w:rsidR="00631360" w:rsidRPr="003B4709" w14:paraId="0B3C229D" w14:textId="77777777">
        <w:trPr>
          <w:trHeight w:val="257"/>
          <w:tblHeader/>
        </w:trPr>
        <w:tc>
          <w:tcPr>
            <w:tcW w:w="709" w:type="dxa"/>
            <w:noWrap/>
          </w:tcPr>
          <w:p w14:paraId="047C6DAF" w14:textId="77777777" w:rsidR="00631360" w:rsidRPr="003B4709" w:rsidRDefault="00462382">
            <w:pPr>
              <w:widowControl w:val="0"/>
              <w:jc w:val="center"/>
            </w:pPr>
            <w:r w:rsidRPr="003B4709">
              <w:t>1</w:t>
            </w:r>
          </w:p>
        </w:tc>
        <w:tc>
          <w:tcPr>
            <w:tcW w:w="6095" w:type="dxa"/>
            <w:noWrap/>
          </w:tcPr>
          <w:p w14:paraId="34888035" w14:textId="77777777" w:rsidR="00631360" w:rsidRPr="003B4709" w:rsidRDefault="00462382">
            <w:pPr>
              <w:widowControl w:val="0"/>
              <w:jc w:val="center"/>
            </w:pPr>
            <w:r w:rsidRPr="003B4709">
              <w:t>2</w:t>
            </w:r>
          </w:p>
        </w:tc>
        <w:tc>
          <w:tcPr>
            <w:tcW w:w="2410" w:type="dxa"/>
          </w:tcPr>
          <w:p w14:paraId="73AB3C7B" w14:textId="77777777" w:rsidR="00631360" w:rsidRPr="003B4709" w:rsidRDefault="00462382">
            <w:pPr>
              <w:widowControl w:val="0"/>
              <w:jc w:val="center"/>
            </w:pPr>
            <w:r w:rsidRPr="003B4709">
              <w:t>3</w:t>
            </w:r>
          </w:p>
        </w:tc>
      </w:tr>
      <w:tr w:rsidR="00631360" w14:paraId="3DCD73BF" w14:textId="77777777">
        <w:trPr>
          <w:trHeight w:val="552"/>
        </w:trPr>
        <w:tc>
          <w:tcPr>
            <w:tcW w:w="709" w:type="dxa"/>
            <w:vMerge w:val="restart"/>
            <w:noWrap/>
          </w:tcPr>
          <w:p w14:paraId="1D08921E" w14:textId="77777777" w:rsidR="00631360" w:rsidRPr="003B4709" w:rsidRDefault="00462382">
            <w:pPr>
              <w:jc w:val="center"/>
            </w:pPr>
            <w:r w:rsidRPr="003B4709">
              <w:t>1.</w:t>
            </w:r>
          </w:p>
        </w:tc>
        <w:tc>
          <w:tcPr>
            <w:tcW w:w="6095" w:type="dxa"/>
            <w:vMerge w:val="restart"/>
            <w:noWrap/>
          </w:tcPr>
          <w:p w14:paraId="6CDA3B66" w14:textId="77777777" w:rsidR="00631360" w:rsidRPr="003B4709" w:rsidRDefault="00462382">
            <w:r w:rsidRPr="003B4709">
              <w:t>Бюджет муниципального района «Петровск-Забайкальский район» Забайкальского края, преобразованного в Петровск-Забайкальский муниципальный округ Забайкальского края</w:t>
            </w:r>
          </w:p>
        </w:tc>
        <w:tc>
          <w:tcPr>
            <w:tcW w:w="2410" w:type="dxa"/>
            <w:vMerge w:val="restart"/>
          </w:tcPr>
          <w:p w14:paraId="0B25A23B" w14:textId="77777777" w:rsidR="00631360" w:rsidRDefault="00462382">
            <w:pPr>
              <w:jc w:val="center"/>
            </w:pPr>
            <w:r w:rsidRPr="003B4709">
              <w:t>2 800 000,0</w:t>
            </w:r>
          </w:p>
        </w:tc>
      </w:tr>
      <w:tr w:rsidR="00631360" w14:paraId="42A402FB" w14:textId="77777777">
        <w:trPr>
          <w:trHeight w:val="552"/>
        </w:trPr>
        <w:tc>
          <w:tcPr>
            <w:tcW w:w="709" w:type="dxa"/>
            <w:noWrap/>
          </w:tcPr>
          <w:p w14:paraId="0DDE36B7" w14:textId="77777777" w:rsidR="00631360" w:rsidRDefault="00462382">
            <w:pPr>
              <w:jc w:val="center"/>
            </w:pPr>
            <w:r>
              <w:t>2.</w:t>
            </w:r>
          </w:p>
        </w:tc>
        <w:tc>
          <w:tcPr>
            <w:tcW w:w="6095" w:type="dxa"/>
            <w:noWrap/>
          </w:tcPr>
          <w:p w14:paraId="20E5B32B" w14:textId="77777777" w:rsidR="00631360" w:rsidRDefault="00462382">
            <w:r>
              <w:t>Бюджет Акшинского муниципального округа Забайкальского края</w:t>
            </w:r>
          </w:p>
        </w:tc>
        <w:tc>
          <w:tcPr>
            <w:tcW w:w="2410" w:type="dxa"/>
          </w:tcPr>
          <w:p w14:paraId="2717444D" w14:textId="77777777" w:rsidR="00631360" w:rsidRDefault="00462382">
            <w:pPr>
              <w:jc w:val="center"/>
            </w:pPr>
            <w:r>
              <w:t>4 048 867,62</w:t>
            </w:r>
          </w:p>
        </w:tc>
      </w:tr>
      <w:tr w:rsidR="00631360" w14:paraId="3D368EEE" w14:textId="77777777">
        <w:trPr>
          <w:trHeight w:val="552"/>
        </w:trPr>
        <w:tc>
          <w:tcPr>
            <w:tcW w:w="709" w:type="dxa"/>
            <w:noWrap/>
          </w:tcPr>
          <w:p w14:paraId="29133C30" w14:textId="77777777" w:rsidR="00631360" w:rsidRDefault="00462382">
            <w:pPr>
              <w:jc w:val="center"/>
            </w:pPr>
            <w:r>
              <w:t>3.</w:t>
            </w:r>
          </w:p>
        </w:tc>
        <w:tc>
          <w:tcPr>
            <w:tcW w:w="6095" w:type="dxa"/>
            <w:noWrap/>
          </w:tcPr>
          <w:p w14:paraId="61F8D195" w14:textId="77777777" w:rsidR="00631360" w:rsidRDefault="00462382">
            <w:r>
              <w:t>Бюджет Александрово-Заводского муниципального округа Забайкальского края</w:t>
            </w:r>
          </w:p>
        </w:tc>
        <w:tc>
          <w:tcPr>
            <w:tcW w:w="2410" w:type="dxa"/>
          </w:tcPr>
          <w:p w14:paraId="218D1A4C" w14:textId="77777777" w:rsidR="00631360" w:rsidRDefault="00462382">
            <w:pPr>
              <w:jc w:val="center"/>
            </w:pPr>
            <w:r>
              <w:t>947 700,0</w:t>
            </w:r>
          </w:p>
        </w:tc>
      </w:tr>
      <w:tr w:rsidR="00631360" w14:paraId="4DC69263" w14:textId="77777777">
        <w:trPr>
          <w:trHeight w:val="552"/>
        </w:trPr>
        <w:tc>
          <w:tcPr>
            <w:tcW w:w="709" w:type="dxa"/>
            <w:noWrap/>
          </w:tcPr>
          <w:p w14:paraId="71161893" w14:textId="77777777" w:rsidR="00631360" w:rsidRDefault="00462382">
            <w:pPr>
              <w:jc w:val="center"/>
            </w:pPr>
            <w:r>
              <w:t>4.</w:t>
            </w:r>
          </w:p>
        </w:tc>
        <w:tc>
          <w:tcPr>
            <w:tcW w:w="6095" w:type="dxa"/>
            <w:noWrap/>
          </w:tcPr>
          <w:p w14:paraId="77B9B09E" w14:textId="77777777" w:rsidR="00631360" w:rsidRDefault="00462382">
            <w:r>
              <w:t>Бюджет Газимуро-Заводского муниципального округа Забайкальского края</w:t>
            </w:r>
          </w:p>
        </w:tc>
        <w:tc>
          <w:tcPr>
            <w:tcW w:w="2410" w:type="dxa"/>
          </w:tcPr>
          <w:p w14:paraId="29B988EC" w14:textId="77777777" w:rsidR="00631360" w:rsidRDefault="00462382">
            <w:pPr>
              <w:jc w:val="center"/>
            </w:pPr>
            <w:r>
              <w:t>1 741 500,0</w:t>
            </w:r>
          </w:p>
        </w:tc>
      </w:tr>
      <w:tr w:rsidR="00631360" w14:paraId="7EFCA9C3" w14:textId="77777777">
        <w:trPr>
          <w:trHeight w:val="552"/>
        </w:trPr>
        <w:tc>
          <w:tcPr>
            <w:tcW w:w="709" w:type="dxa"/>
            <w:vMerge w:val="restart"/>
            <w:noWrap/>
          </w:tcPr>
          <w:p w14:paraId="55EAB2D6" w14:textId="77777777" w:rsidR="00631360" w:rsidRDefault="00462382">
            <w:pPr>
              <w:jc w:val="center"/>
            </w:pPr>
            <w:r>
              <w:t>5.</w:t>
            </w:r>
          </w:p>
        </w:tc>
        <w:tc>
          <w:tcPr>
            <w:tcW w:w="6095" w:type="dxa"/>
            <w:vMerge w:val="restart"/>
            <w:noWrap/>
          </w:tcPr>
          <w:p w14:paraId="27DB9189" w14:textId="77777777" w:rsidR="00631360" w:rsidRDefault="00462382">
            <w:r>
              <w:t>Бюджет Калганского муниципального округа Забайкальского края</w:t>
            </w:r>
          </w:p>
        </w:tc>
        <w:tc>
          <w:tcPr>
            <w:tcW w:w="2410" w:type="dxa"/>
            <w:vMerge w:val="restart"/>
          </w:tcPr>
          <w:p w14:paraId="2D6B0DC9" w14:textId="77777777" w:rsidR="00631360" w:rsidRDefault="00462382">
            <w:pPr>
              <w:jc w:val="center"/>
            </w:pPr>
            <w:r>
              <w:t>900 040,83</w:t>
            </w:r>
          </w:p>
        </w:tc>
      </w:tr>
      <w:tr w:rsidR="00631360" w14:paraId="5262FF3C" w14:textId="77777777">
        <w:trPr>
          <w:trHeight w:val="552"/>
        </w:trPr>
        <w:tc>
          <w:tcPr>
            <w:tcW w:w="709" w:type="dxa"/>
            <w:vMerge w:val="restart"/>
            <w:noWrap/>
          </w:tcPr>
          <w:p w14:paraId="3E09A490" w14:textId="77777777" w:rsidR="00631360" w:rsidRDefault="00462382">
            <w:pPr>
              <w:jc w:val="center"/>
            </w:pPr>
            <w:r>
              <w:t>6.</w:t>
            </w:r>
          </w:p>
        </w:tc>
        <w:tc>
          <w:tcPr>
            <w:tcW w:w="6095" w:type="dxa"/>
            <w:vMerge w:val="restart"/>
            <w:noWrap/>
          </w:tcPr>
          <w:p w14:paraId="12FAF292" w14:textId="77777777" w:rsidR="00631360" w:rsidRDefault="00462382">
            <w:r>
              <w:t>Бюджет Нерчинско-Заводского муниципального округа Забайкальского края</w:t>
            </w:r>
          </w:p>
        </w:tc>
        <w:tc>
          <w:tcPr>
            <w:tcW w:w="2410" w:type="dxa"/>
            <w:vMerge w:val="restart"/>
          </w:tcPr>
          <w:p w14:paraId="40387EBD" w14:textId="77777777" w:rsidR="00631360" w:rsidRDefault="00462382">
            <w:pPr>
              <w:jc w:val="center"/>
            </w:pPr>
            <w:r>
              <w:t>1 770 400,0</w:t>
            </w:r>
          </w:p>
        </w:tc>
      </w:tr>
      <w:tr w:rsidR="00631360" w14:paraId="297CCDEE" w14:textId="77777777">
        <w:trPr>
          <w:trHeight w:val="552"/>
        </w:trPr>
        <w:tc>
          <w:tcPr>
            <w:tcW w:w="709" w:type="dxa"/>
            <w:noWrap/>
          </w:tcPr>
          <w:p w14:paraId="3AE69430" w14:textId="77777777" w:rsidR="00631360" w:rsidRDefault="00462382">
            <w:pPr>
              <w:jc w:val="center"/>
            </w:pPr>
            <w:r>
              <w:t>7.</w:t>
            </w:r>
          </w:p>
        </w:tc>
        <w:tc>
          <w:tcPr>
            <w:tcW w:w="6095" w:type="dxa"/>
            <w:noWrap/>
          </w:tcPr>
          <w:p w14:paraId="3ACFC4CA" w14:textId="77777777" w:rsidR="00631360" w:rsidRDefault="00462382">
            <w:r>
              <w:t>Бюджет Ононского муниципального округа Забайкальского края</w:t>
            </w:r>
          </w:p>
        </w:tc>
        <w:tc>
          <w:tcPr>
            <w:tcW w:w="2410" w:type="dxa"/>
          </w:tcPr>
          <w:p w14:paraId="4FBD3A92" w14:textId="77777777" w:rsidR="00631360" w:rsidRDefault="00462382">
            <w:pPr>
              <w:jc w:val="center"/>
            </w:pPr>
            <w:r>
              <w:t>2 947 765,37</w:t>
            </w:r>
          </w:p>
        </w:tc>
      </w:tr>
      <w:tr w:rsidR="00631360" w14:paraId="3711E08E" w14:textId="77777777">
        <w:trPr>
          <w:trHeight w:val="552"/>
        </w:trPr>
        <w:tc>
          <w:tcPr>
            <w:tcW w:w="709" w:type="dxa"/>
            <w:noWrap/>
          </w:tcPr>
          <w:p w14:paraId="33F4E39A" w14:textId="77777777" w:rsidR="00631360" w:rsidRDefault="00631360">
            <w:pPr>
              <w:jc w:val="center"/>
            </w:pPr>
          </w:p>
        </w:tc>
        <w:tc>
          <w:tcPr>
            <w:tcW w:w="6095" w:type="dxa"/>
            <w:noWrap/>
          </w:tcPr>
          <w:p w14:paraId="54CC5101" w14:textId="77777777" w:rsidR="00631360" w:rsidRDefault="00462382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410" w:type="dxa"/>
          </w:tcPr>
          <w:p w14:paraId="3D4C66D5" w14:textId="77777777" w:rsidR="00631360" w:rsidRDefault="00462382">
            <w:pPr>
              <w:jc w:val="center"/>
              <w:rPr>
                <w:b/>
              </w:rPr>
            </w:pPr>
            <w:r>
              <w:rPr>
                <w:b/>
              </w:rPr>
              <w:t>15 156 273,82</w:t>
            </w:r>
          </w:p>
        </w:tc>
      </w:tr>
    </w:tbl>
    <w:p w14:paraId="43E085FF" w14:textId="77777777" w:rsidR="00631360" w:rsidRDefault="00631360"/>
    <w:p w14:paraId="17815C62" w14:textId="77777777" w:rsidR="00631360" w:rsidRDefault="00462382">
      <w:pPr>
        <w:jc w:val="center"/>
      </w:pPr>
      <w:r>
        <w:t>_________________».</w:t>
      </w:r>
    </w:p>
    <w:p w14:paraId="58C1DFC9" w14:textId="77777777" w:rsidR="00631360" w:rsidRDefault="00631360">
      <w:pPr>
        <w:jc w:val="center"/>
      </w:pPr>
    </w:p>
    <w:p w14:paraId="20B3071A" w14:textId="77777777" w:rsidR="003B4709" w:rsidRDefault="003B4709">
      <w:pPr>
        <w:jc w:val="center"/>
      </w:pPr>
    </w:p>
    <w:p w14:paraId="0F242533" w14:textId="77777777" w:rsidR="003B4709" w:rsidRDefault="003B4709">
      <w:pPr>
        <w:jc w:val="center"/>
      </w:pPr>
    </w:p>
    <w:p w14:paraId="78B3C434" w14:textId="77777777" w:rsidR="003B4709" w:rsidRDefault="003B4709" w:rsidP="003B4709">
      <w:r>
        <w:t xml:space="preserve">Первый заместитель </w:t>
      </w:r>
    </w:p>
    <w:p w14:paraId="237B0550" w14:textId="77777777" w:rsidR="003B4709" w:rsidRDefault="003B4709" w:rsidP="003B4709">
      <w:r>
        <w:t xml:space="preserve">председателя Правительства </w:t>
      </w:r>
    </w:p>
    <w:p w14:paraId="4187A2CE" w14:textId="77777777" w:rsidR="003B4709" w:rsidRDefault="003B4709" w:rsidP="003B4709">
      <w:pPr>
        <w:tabs>
          <w:tab w:val="left" w:pos="7938"/>
        </w:tabs>
      </w:pPr>
      <w:r>
        <w:t>Забайкальского края</w:t>
      </w:r>
      <w:r>
        <w:tab/>
        <w:t>А.И.Кефер</w:t>
      </w:r>
    </w:p>
    <w:sectPr w:rsidR="003B4709" w:rsidSect="003B4709">
      <w:headerReference w:type="default" r:id="rId8"/>
      <w:pgSz w:w="11906" w:h="16838"/>
      <w:pgMar w:top="1134" w:right="567" w:bottom="1134" w:left="1985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0F32B" w14:textId="77777777" w:rsidR="003B4709" w:rsidRDefault="003B4709">
      <w:r>
        <w:separator/>
      </w:r>
    </w:p>
  </w:endnote>
  <w:endnote w:type="continuationSeparator" w:id="0">
    <w:p w14:paraId="7CF48AA6" w14:textId="77777777" w:rsidR="003B4709" w:rsidRDefault="003B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1CBAD" w14:textId="77777777" w:rsidR="003B4709" w:rsidRDefault="003B4709">
      <w:r>
        <w:separator/>
      </w:r>
    </w:p>
  </w:footnote>
  <w:footnote w:type="continuationSeparator" w:id="0">
    <w:p w14:paraId="0A491E33" w14:textId="77777777" w:rsidR="003B4709" w:rsidRDefault="003B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20C26" w14:textId="77777777" w:rsidR="003B4709" w:rsidRPr="00462382" w:rsidRDefault="003B4709" w:rsidP="00462382">
    <w:pPr>
      <w:pStyle w:val="ab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FF40F4" w:rsidRPr="00FF40F4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D2232"/>
    <w:multiLevelType w:val="hybridMultilevel"/>
    <w:tmpl w:val="231C2FAE"/>
    <w:lvl w:ilvl="0" w:tplc="878220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/>
        <w:sz w:val="24"/>
        <w:szCs w:val="24"/>
      </w:rPr>
    </w:lvl>
    <w:lvl w:ilvl="1" w:tplc="FEE8B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6011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B43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EA0FA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25256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91AAA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9C2D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905A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133F90"/>
    <w:multiLevelType w:val="hybridMultilevel"/>
    <w:tmpl w:val="6A085756"/>
    <w:lvl w:ilvl="0" w:tplc="DA6E2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09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2B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44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A9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662E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564D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69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EA0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60"/>
    <w:rsid w:val="00034593"/>
    <w:rsid w:val="000D3A90"/>
    <w:rsid w:val="003B4709"/>
    <w:rsid w:val="00462382"/>
    <w:rsid w:val="00465E65"/>
    <w:rsid w:val="00631360"/>
    <w:rsid w:val="0077003C"/>
    <w:rsid w:val="00F33496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02278"/>
  <w15:docId w15:val="{09925BDA-A3FC-489F-A695-68106C87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Times New Roman" w:hAnsi="Times New Roman" w:cs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color w:val="000000"/>
      <w:sz w:val="16"/>
      <w:szCs w:val="16"/>
    </w:rPr>
  </w:style>
  <w:style w:type="character" w:customStyle="1" w:styleId="docdata">
    <w:name w:val="docdata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hAnsi="Times New Roman" w:cs="Times New Roman"/>
      <w:color w:val="00000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hAnsi="Times New Roman" w:cs="Times New Roman"/>
      <w:b/>
      <w:bCs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Макарова Юлия Сергеевна</cp:lastModifiedBy>
  <cp:revision>2</cp:revision>
  <dcterms:created xsi:type="dcterms:W3CDTF">2024-11-29T06:40:00Z</dcterms:created>
  <dcterms:modified xsi:type="dcterms:W3CDTF">2024-11-29T06:40:00Z</dcterms:modified>
  <cp:version>1048576</cp:version>
</cp:coreProperties>
</file>