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58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50"/>
        <w:gridCol w:w="3102"/>
        <w:gridCol w:w="3606"/>
      </w:tblGrid>
      <w:tr>
        <w:tblPrEx/>
        <w:trPr>
          <w:trHeight w:val="15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0" w:type="dxa"/>
            <w:textDirection w:val="lrTb"/>
            <w:noWrap w:val="false"/>
          </w:tcPr>
          <w:p>
            <w:pPr>
              <w:ind w:left="489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  <w:r>
              <w:rPr>
                <w:sz w:val="32"/>
                <w:szCs w:val="32"/>
                <w:lang w:val="en-US"/>
              </w:rPr>
            </w:r>
          </w:p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02" w:type="dxa"/>
            <w:textDirection w:val="lrTb"/>
            <w:noWrap w:val="false"/>
          </w:tcPr>
          <w:p>
            <w:pPr>
              <w:jc w:val="center"/>
              <w:tabs>
                <w:tab w:val="left" w:pos="1139" w:leader="none"/>
              </w:tabs>
              <w:rPr>
                <w:sz w:val="24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92499" cy="867956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92499" cy="867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2.40pt;height:68.34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sz w:val="24"/>
              </w:rPr>
            </w:r>
          </w:p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6" w:type="dxa"/>
            <w:textDirection w:val="lrTb"/>
            <w:noWrap w:val="false"/>
          </w:tcPr>
          <w:p>
            <w:pPr>
              <w:jc w:val="right"/>
              <w:tabs>
                <w:tab w:val="left" w:pos="1139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jc w:val="center"/>
        <w:shd w:val="clear" w:color="auto" w:fill="ffffff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33"/>
          <w:szCs w:val="33"/>
        </w:rPr>
      </w:r>
    </w:p>
    <w:p>
      <w:pPr>
        <w:ind w:left="19"/>
        <w:jc w:val="center"/>
        <w:spacing w:before="130"/>
        <w:shd w:val="clear" w:color="auto" w:fill="ffffff"/>
        <w:rPr>
          <w:bCs/>
          <w:spacing w:val="-14"/>
          <w:sz w:val="6"/>
          <w:szCs w:val="6"/>
        </w:rPr>
        <w:outlineLvl w:val="0"/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  <w:sz w:val="6"/>
          <w:szCs w:val="6"/>
        </w:rPr>
      </w:r>
    </w:p>
    <w:p>
      <w:pPr>
        <w:ind w:left="19"/>
        <w:jc w:val="center"/>
        <w:spacing w:before="130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rPr>
          <w:sz w:val="24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sz w:val="24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b/>
        </w:rPr>
      </w:pPr>
      <w:r>
        <w:rPr>
          <w:b/>
        </w:rPr>
        <w:t xml:space="preserve">О распределении дотаций, предоставляемых в 2024 году из бюджета Забайкальского края бюджетам муниципальных районов (муниципальных округов, городских округов) Забайкальского края 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</w:r>
      <w:r>
        <w:rPr>
          <w:b/>
        </w:rPr>
      </w:r>
    </w:p>
    <w:p>
      <w:pPr>
        <w:jc w:val="center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pacing w:val="4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138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статьей 11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Закона Забайкальского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20 декабря 2011 года № 608-ЗЗК «О межбюджетных отношениях в Забайкальском крае»,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пунктом 13 Правил предоставления бюджетам муниципальных районов (муниципальных округов, городских округов) Забайкальского края дотаций на поддержку мер по обеспечению сба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лансированности бюджетов муниципальных районов (муниципальных округов, городских округов) Забайкальского края из бюджета Забайкальского края, утвержденных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Правительства Забайкальского края от 3 июня 2020 года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187, в целях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сбал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ансированности бюджетов муниципальных образований Забайкальского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:</w:t>
      </w:r>
      <w:r>
        <w:rPr>
          <w:rFonts w:ascii="Times New Roman" w:hAnsi="Times New Roman" w:cs="Times New Roman"/>
          <w:spacing w:val="44"/>
          <w:sz w:val="28"/>
          <w:szCs w:val="28"/>
        </w:rPr>
      </w:r>
    </w:p>
    <w:p>
      <w:pPr>
        <w:ind w:firstLine="708"/>
        <w:jc w:val="both"/>
      </w:pPr>
      <w:r>
        <w:tab/>
      </w:r>
      <w:r/>
    </w:p>
    <w:p>
      <w:pPr>
        <w:ind w:firstLine="709"/>
        <w:jc w:val="both"/>
      </w:pPr>
      <w:r>
        <w:t xml:space="preserve">Распределить дотации, предоставляемые в 2024 году из бюджета Забайкальского края бюджетам муниципальных районов (муниципальных округов, городских округов) Забайкальского края на поддержку мер по обеспечению сбалансированности бюджетов муниципальных районов</w:t>
      </w:r>
      <w:r>
        <w:t xml:space="preserve"> (муниципальных округов, городских округов) Забайкальского края в сумме 8 778 890 (восемь миллионов семьсот семьдесят восемь тысяч восемьсот девяносто) рублей</w:t>
      </w:r>
      <w:r>
        <w:rPr>
          <w:bCs/>
        </w:rPr>
        <w:t xml:space="preserve">,</w:t>
      </w:r>
      <w:r>
        <w:t xml:space="preserve"> согласно приложению к настоящему постановлению.</w:t>
      </w:r>
      <w:r/>
    </w:p>
    <w:p>
      <w:pPr>
        <w:jc w:val="both"/>
      </w:pPr>
      <w:r/>
      <w:r/>
    </w:p>
    <w:p>
      <w:pPr>
        <w:jc w:val="both"/>
      </w:pPr>
      <w:r/>
      <w:r/>
    </w:p>
    <w:p>
      <w:r>
        <w:t xml:space="preserve">Первый заместитель </w:t>
      </w:r>
      <w:r/>
    </w:p>
    <w:p>
      <w:r>
        <w:t xml:space="preserve">председателя Правительства</w:t>
      </w:r>
      <w:r>
        <w:t xml:space="preserve"> </w:t>
      </w:r>
      <w:r/>
    </w:p>
    <w:p>
      <w:r>
        <w:t xml:space="preserve">Забайкальского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>
        <w:t xml:space="preserve">А.И.Кефер</w:t>
      </w:r>
      <w:r>
        <w:t xml:space="preserve"> </w:t>
      </w:r>
      <w:r/>
    </w:p>
    <w:p>
      <w:pPr>
        <w:ind w:left="5245"/>
        <w:jc w:val="center"/>
        <w:spacing w:line="360" w:lineRule="auto"/>
        <w:outlineLvl w:val="0"/>
      </w:pPr>
      <w:r>
        <w:t xml:space="preserve">ПРИЛОЖЕНИЕ</w:t>
      </w:r>
      <w:r/>
    </w:p>
    <w:p>
      <w:pPr>
        <w:ind w:left="5245"/>
        <w:jc w:val="center"/>
      </w:pPr>
      <w:r>
        <w:t xml:space="preserve">к постановлению Правительства</w:t>
      </w:r>
      <w:r/>
    </w:p>
    <w:p>
      <w:pPr>
        <w:ind w:left="5245"/>
        <w:jc w:val="center"/>
        <w:tabs>
          <w:tab w:val="left" w:pos="5670" w:leader="none"/>
        </w:tabs>
      </w:pPr>
      <w:r>
        <w:t xml:space="preserve">Забайкальского края</w:t>
      </w:r>
      <w:r/>
    </w:p>
    <w:p>
      <w:pPr>
        <w:jc w:val="center"/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</w:p>
    <w:p>
      <w:pPr>
        <w:jc w:val="center"/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</w:p>
    <w:p>
      <w:pPr>
        <w:jc w:val="center"/>
        <w:rPr>
          <w:b/>
        </w:rPr>
        <w:outlineLvl w:val="0"/>
      </w:pPr>
      <w:r>
        <w:rPr>
          <w:b/>
        </w:rPr>
        <w:t xml:space="preserve">РАСПРЕДЕЛЕНИЕ</w:t>
      </w:r>
      <w:r>
        <w:rPr>
          <w:b/>
        </w:rPr>
      </w:r>
    </w:p>
    <w:p>
      <w:pPr>
        <w:jc w:val="center"/>
        <w:rPr>
          <w:b/>
          <w:highlight w:val="yellow"/>
        </w:rPr>
      </w:pPr>
      <w:r>
        <w:rPr>
          <w:b/>
        </w:rPr>
        <w:t xml:space="preserve">дотаций, предоставляемых в 2024 году из бюджета За</w:t>
      </w:r>
      <w:r>
        <w:rPr>
          <w:b/>
        </w:rPr>
        <w:t xml:space="preserve">байкальского края бюджетам муниципальных районов (муниципальных округов, городских округов) Забайкальского края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</w:r>
      <w:r>
        <w:rPr>
          <w:b/>
          <w:highlight w:val="yellow"/>
        </w:rPr>
      </w:r>
    </w:p>
    <w:p>
      <w:pPr>
        <w:jc w:val="center"/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</w:p>
    <w:tbl>
      <w:tblPr>
        <w:tblW w:w="9214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410"/>
      </w:tblGrid>
      <w:tr>
        <w:tblPrEx/>
        <w:trPr>
          <w:trHeight w:val="1284"/>
          <w:tblHeader/>
        </w:trPr>
        <w:tc>
          <w:tcP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/п</w:t>
            </w:r>
            <w:r>
              <w:rPr>
                <w:b/>
              </w:rPr>
            </w:r>
          </w:p>
        </w:tc>
        <w:tc>
          <w:tcPr>
            <w:tcW w:w="6095" w:type="dxa"/>
            <w:vAlign w:val="center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бюджетов муниципальных районов, муниципальных округов, городских округов Забайкальского края</w:t>
            </w:r>
            <w:r>
              <w:rPr>
                <w:b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Сумма, </w:t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рублей</w:t>
            </w:r>
            <w:r>
              <w:rPr>
                <w:b/>
                <w:bCs/>
              </w:rPr>
            </w:r>
          </w:p>
        </w:tc>
      </w:tr>
    </w:tbl>
    <w:p>
      <w:pPr>
        <w:rPr>
          <w:sz w:val="2"/>
          <w:szCs w:val="2"/>
          <w:highlight w:val="yellow"/>
        </w:rPr>
      </w:pPr>
      <w:r>
        <w:rPr>
          <w:sz w:val="2"/>
          <w:szCs w:val="2"/>
          <w:highlight w:val="yellow"/>
        </w:rPr>
      </w:r>
      <w:r>
        <w:rPr>
          <w:sz w:val="2"/>
          <w:szCs w:val="2"/>
          <w:highlight w:val="yellow"/>
        </w:rPr>
      </w:r>
    </w:p>
    <w:tbl>
      <w:tblPr>
        <w:tblW w:w="9214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410"/>
      </w:tblGrid>
      <w:tr>
        <w:tblPrEx/>
        <w:trPr>
          <w:trHeight w:val="257"/>
          <w:tblHeader/>
        </w:trPr>
        <w:tc>
          <w:tcPr>
            <w:tcW w:w="709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6095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«Агинский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137 931,0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r>
              <w:t xml:space="preserve">Бюджет муниципального района «</w:t>
            </w:r>
            <w:r>
              <w:t xml:space="preserve">Балейский</w:t>
            </w:r>
            <w:r>
              <w:t xml:space="preserve"> район» Забайкальского края, </w:t>
            </w:r>
            <w:r>
              <w:rPr>
                <w:bCs/>
              </w:rPr>
              <w:t xml:space="preserve">преобразованного в </w:t>
            </w:r>
            <w:r>
              <w:rPr>
                <w:bCs/>
              </w:rPr>
              <w:t xml:space="preserve">Балейский</w:t>
            </w:r>
            <w:r>
              <w:rPr>
                <w:bCs/>
              </w:rPr>
              <w:t xml:space="preserve"> муниципальный округ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11 104,0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</w:t>
            </w:r>
            <w:r>
              <w:t xml:space="preserve">Борзинский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469 104,0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r>
              <w:t xml:space="preserve">Бюджет муниципального района «</w:t>
            </w:r>
            <w:r>
              <w:t xml:space="preserve">Дульдургинский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137 931,0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lang w:val="en-US"/>
              </w:rPr>
              <w:t xml:space="preserve">5</w:t>
            </w:r>
            <w:r>
              <w:t xml:space="preserve">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t xml:space="preserve">Бюджет муниципального района «Забайкальский район» Забайкальского края, </w:t>
            </w:r>
            <w:r>
              <w:rPr>
                <w:bCs/>
                <w:highlight w:val="white"/>
              </w:rPr>
              <w:t xml:space="preserve">преобразованного в </w:t>
            </w:r>
            <w:r>
              <w:rPr>
                <w:bCs/>
                <w:highlight w:val="white"/>
              </w:rPr>
              <w:t xml:space="preserve">Забайкальский м</w:t>
            </w:r>
            <w:r>
              <w:rPr>
                <w:bCs/>
                <w:highlight w:val="white"/>
              </w:rPr>
              <w:t xml:space="preserve">униципальный округ Забайкальского края</w:t>
            </w:r>
            <w:r>
              <w:rPr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254 550,0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pPr>
              <w:widowControl w:val="off"/>
            </w:pPr>
            <w:r>
              <w:rPr>
                <w:bCs/>
              </w:rPr>
              <w:t xml:space="preserve">Бюджет муниципального района «Город </w:t>
            </w:r>
            <w:r>
              <w:rPr>
                <w:bCs/>
              </w:rPr>
              <w:t xml:space="preserve">Краснокаменск</w:t>
            </w:r>
            <w:r>
              <w:rPr>
                <w:bCs/>
              </w:rPr>
              <w:t xml:space="preserve"> и </w:t>
            </w:r>
            <w:r>
              <w:rPr>
                <w:bCs/>
              </w:rPr>
              <w:t xml:space="preserve">Краснокаменский</w:t>
            </w:r>
            <w:r>
              <w:rPr>
                <w:bCs/>
              </w:rPr>
              <w:t xml:space="preserve"> район», преобразованного в </w:t>
            </w:r>
            <w:r>
              <w:rPr>
                <w:bCs/>
              </w:rPr>
              <w:t xml:space="preserve">Краснокаменский</w:t>
            </w:r>
            <w:r>
              <w:rPr>
                <w:bCs/>
              </w:rPr>
              <w:t xml:space="preserve"> муниципальный округ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332 311,0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r>
              <w:t xml:space="preserve">Бюджет муниципального района «</w:t>
            </w:r>
            <w:r>
              <w:t xml:space="preserve">Карымский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227 141,0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r>
              <w:t xml:space="preserve">Бюджет мун</w:t>
            </w:r>
            <w:r>
              <w:t xml:space="preserve">иципального района «</w:t>
            </w:r>
            <w:r>
              <w:t xml:space="preserve">Кыринский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34 483,0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pPr>
              <w:widowControl w:val="off"/>
            </w:pPr>
            <w:r>
              <w:t xml:space="preserve">Бюджет муниципального района «</w:t>
            </w:r>
            <w:r>
              <w:t xml:space="preserve">Могойтуйский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457 034,0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pPr>
              <w:widowControl w:val="off"/>
            </w:pPr>
            <w:r>
              <w:t xml:space="preserve">Бюджет муниципального района «Нерчинский район»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32 759,0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r>
              <w:t xml:space="preserve">Бюджет муниципального района «</w:t>
            </w:r>
            <w:r>
              <w:t xml:space="preserve">Оловяннинский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275 862,0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pPr>
              <w:widowControl w:val="off"/>
            </w:pPr>
            <w:r>
              <w:t xml:space="preserve">Бюджет муниципального района «Петровск-Забайкальский район», преобразованного в Петровск-Забайкальский муниципальный округ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175 160,0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pPr>
              <w:widowControl w:val="off"/>
            </w:pPr>
            <w:r>
              <w:t xml:space="preserve">Бюджет муниц</w:t>
            </w:r>
            <w:r>
              <w:t xml:space="preserve">ипального района «Сретенский район»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179 587,0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pPr>
              <w:widowControl w:val="off"/>
            </w:pPr>
            <w:r>
              <w:t xml:space="preserve">Бюджет муниципального района «</w:t>
            </w:r>
            <w:r>
              <w:t xml:space="preserve">Тунгиро-Олёкминский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37 415,0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15.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pPr>
              <w:widowControl w:val="off"/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Улётовский</w:t>
            </w:r>
            <w:r>
              <w:rPr>
                <w:bCs/>
              </w:rPr>
              <w:t xml:space="preserve"> район», преобразованного в </w:t>
            </w:r>
            <w:r>
              <w:rPr>
                <w:bCs/>
              </w:rPr>
              <w:t xml:space="preserve">Улётовский</w:t>
            </w:r>
            <w:r>
              <w:rPr>
                <w:bCs/>
              </w:rPr>
              <w:t xml:space="preserve"> муниципальный о</w:t>
            </w:r>
            <w:r>
              <w:rPr>
                <w:bCs/>
              </w:rPr>
              <w:t xml:space="preserve">круг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34 483,0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16.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r>
              <w:t xml:space="preserve">Бюджет муниципального района «</w:t>
            </w:r>
            <w:r>
              <w:t xml:space="preserve">Хилокский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206 897,0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17.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pPr>
              <w:widowControl w:val="off"/>
            </w:pPr>
            <w:r>
              <w:t xml:space="preserve">Бюджет муниципального района «Читинский район»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1 994 134,0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18.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r>
              <w:t xml:space="preserve">Бюджет муниципального района «</w:t>
            </w:r>
            <w:r>
              <w:t xml:space="preserve">Шилкинский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317 519,0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19.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r>
              <w:t xml:space="preserve">Бюджет </w:t>
            </w:r>
            <w:r>
              <w:t xml:space="preserve">Газимуро</w:t>
            </w:r>
            <w:r>
              <w:t xml:space="preserve">-Заводского муниципального округа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83 794,0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20.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r>
              <w:t xml:space="preserve">Бюджет </w:t>
            </w:r>
            <w:r>
              <w:t xml:space="preserve">Каларского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312 240,0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21.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r>
              <w:t xml:space="preserve">Бюджет </w:t>
            </w:r>
            <w:r>
              <w:t xml:space="preserve">Калганского муниципального округа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68 966,0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22.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r>
              <w:t xml:space="preserve">Бюджет </w:t>
            </w:r>
            <w:r>
              <w:t xml:space="preserve">Могочинского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379 310,0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23.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r>
              <w:t xml:space="preserve">Бюджет </w:t>
            </w:r>
            <w:r>
              <w:t xml:space="preserve">Нерчинско</w:t>
            </w:r>
            <w:r>
              <w:t xml:space="preserve">-Заводского муниципального округа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25 793,0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24.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Ононского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103 448,0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25.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r>
              <w:t xml:space="preserve">Бюджет Приаргунского муниципального округа Забайкальского края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413 794,0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26.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Тунгокоченского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193 242,0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27.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городского округа «Город Чита»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1 758 621,0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28.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городского округа закрытое административно-территориальное образование п. Горный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124 277,0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6095" w:type="dxa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  <w:bCs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8 778 890,0</w:t>
            </w:r>
            <w:r>
              <w:rPr>
                <w:b/>
              </w:rPr>
            </w:r>
          </w:p>
        </w:tc>
      </w:tr>
    </w:tbl>
    <w:p>
      <w:pPr>
        <w:jc w:val="center"/>
      </w:pPr>
      <w:r/>
      <w:bookmarkStart w:id="0" w:name="_GoBack"/>
      <w:r/>
      <w:bookmarkEnd w:id="0"/>
      <w:r>
        <w:t xml:space="preserve">__________________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985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734"/>
      <w:rPr>
        <w:lang w:val="ru-RU"/>
      </w:rPr>
    </w:pP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center"/>
    </w:pPr>
    <w:r/>
    <w:r/>
  </w:p>
  <w:p>
    <w:pPr>
      <w:pStyle w:val="7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688">
    <w:name w:val="Heading 1"/>
    <w:basedOn w:val="687"/>
    <w:next w:val="687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1 Char"/>
    <w:basedOn w:val="697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Heading 2 Char"/>
    <w:basedOn w:val="697"/>
    <w:uiPriority w:val="9"/>
    <w:rPr>
      <w:rFonts w:ascii="Arial" w:hAnsi="Arial" w:eastAsia="Arial" w:cs="Arial"/>
      <w:sz w:val="34"/>
    </w:rPr>
  </w:style>
  <w:style w:type="character" w:styleId="702" w:customStyle="1">
    <w:name w:val="Heading 3 Char"/>
    <w:basedOn w:val="697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Heading 4 Char"/>
    <w:basedOn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Heading 5 Char"/>
    <w:basedOn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Heading 6 Char"/>
    <w:basedOn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Heading 7 Char"/>
    <w:basedOn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Heading 8 Char"/>
    <w:basedOn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Heading 9 Char"/>
    <w:basedOn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709" w:customStyle="1">
    <w:name w:val="Title Char"/>
    <w:basedOn w:val="697"/>
    <w:uiPriority w:val="10"/>
    <w:rPr>
      <w:sz w:val="48"/>
      <w:szCs w:val="48"/>
    </w:rPr>
  </w:style>
  <w:style w:type="character" w:styleId="710" w:customStyle="1">
    <w:name w:val="Subtitle Char"/>
    <w:basedOn w:val="697"/>
    <w:uiPriority w:val="11"/>
    <w:rPr>
      <w:sz w:val="24"/>
      <w:szCs w:val="24"/>
    </w:rPr>
  </w:style>
  <w:style w:type="character" w:styleId="711" w:customStyle="1">
    <w:name w:val="Quote Char"/>
    <w:uiPriority w:val="29"/>
    <w:rPr>
      <w:i/>
    </w:rPr>
  </w:style>
  <w:style w:type="character" w:styleId="712" w:customStyle="1">
    <w:name w:val="Intense Quote Char"/>
    <w:uiPriority w:val="30"/>
    <w:rPr>
      <w:i/>
    </w:rPr>
  </w:style>
  <w:style w:type="character" w:styleId="713" w:customStyle="1">
    <w:name w:val="Footnote Text Char"/>
    <w:uiPriority w:val="99"/>
    <w:rPr>
      <w:sz w:val="18"/>
    </w:rPr>
  </w:style>
  <w:style w:type="character" w:styleId="714" w:customStyle="1">
    <w:name w:val="Endnote Text Char"/>
    <w:uiPriority w:val="99"/>
    <w:rPr>
      <w:sz w:val="20"/>
    </w:rPr>
  </w:style>
  <w:style w:type="character" w:styleId="715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687"/>
    <w:uiPriority w:val="34"/>
    <w:qFormat/>
    <w:pPr>
      <w:contextualSpacing/>
      <w:ind w:left="720"/>
    </w:pPr>
  </w:style>
  <w:style w:type="paragraph" w:styleId="725">
    <w:name w:val="No Spacing"/>
    <w:uiPriority w:val="1"/>
    <w:qFormat/>
  </w:style>
  <w:style w:type="paragraph" w:styleId="726">
    <w:name w:val="Title"/>
    <w:basedOn w:val="687"/>
    <w:next w:val="687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 w:customStyle="1">
    <w:name w:val="Название Знак"/>
    <w:link w:val="726"/>
    <w:uiPriority w:val="10"/>
    <w:rPr>
      <w:sz w:val="48"/>
      <w:szCs w:val="48"/>
    </w:rPr>
  </w:style>
  <w:style w:type="paragraph" w:styleId="728">
    <w:name w:val="Subtitle"/>
    <w:basedOn w:val="687"/>
    <w:next w:val="6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 w:customStyle="1">
    <w:name w:val="Подзаголовок Знак"/>
    <w:link w:val="728"/>
    <w:uiPriority w:val="11"/>
    <w:rPr>
      <w:sz w:val="24"/>
      <w:szCs w:val="24"/>
    </w:rPr>
  </w:style>
  <w:style w:type="paragraph" w:styleId="730">
    <w:name w:val="Quote"/>
    <w:basedOn w:val="687"/>
    <w:next w:val="687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687"/>
    <w:next w:val="687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paragraph" w:styleId="734">
    <w:name w:val="Header"/>
    <w:basedOn w:val="687"/>
    <w:link w:val="88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35" w:customStyle="1">
    <w:name w:val="Header Char"/>
    <w:uiPriority w:val="99"/>
  </w:style>
  <w:style w:type="paragraph" w:styleId="736">
    <w:name w:val="Footer"/>
    <w:basedOn w:val="687"/>
    <w:link w:val="887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37" w:customStyle="1">
    <w:name w:val="Footer Char"/>
    <w:uiPriority w:val="99"/>
  </w:style>
  <w:style w:type="paragraph" w:styleId="738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 w:customStyle="1">
    <w:name w:val="Caption Char"/>
    <w:uiPriority w:val="99"/>
  </w:style>
  <w:style w:type="table" w:styleId="740">
    <w:name w:val="Table Grid"/>
    <w:basedOn w:val="698"/>
    <w:uiPriority w:val="59"/>
    <w:rPr>
      <w:rFonts w:ascii="Times New Roman" w:hAnsi="Times New Roman" w:cs="Times New Roma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687"/>
    <w:link w:val="868"/>
    <w:uiPriority w:val="99"/>
    <w:semiHidden/>
    <w:unhideWhenUsed/>
    <w:pPr>
      <w:spacing w:after="40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687"/>
    <w:link w:val="871"/>
    <w:uiPriority w:val="99"/>
    <w:semiHidden/>
    <w:unhideWhenUsed/>
    <w:rPr>
      <w:sz w:val="20"/>
    </w:rPr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687"/>
    <w:next w:val="687"/>
    <w:uiPriority w:val="39"/>
    <w:unhideWhenUsed/>
    <w:pPr>
      <w:spacing w:after="57"/>
    </w:pPr>
  </w:style>
  <w:style w:type="paragraph" w:styleId="874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75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76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77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78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79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80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81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687"/>
    <w:next w:val="687"/>
    <w:uiPriority w:val="99"/>
    <w:unhideWhenUsed/>
  </w:style>
  <w:style w:type="paragraph" w:styleId="884">
    <w:name w:val="Balloon Text"/>
    <w:basedOn w:val="687"/>
    <w:link w:val="885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85" w:customStyle="1">
    <w:name w:val="Текст выноски Знак"/>
    <w:link w:val="884"/>
    <w:uiPriority w:val="99"/>
    <w:semiHidden/>
    <w:rPr>
      <w:rFonts w:ascii="Tahoma" w:hAnsi="Tahoma" w:cs="Tahoma"/>
      <w:color w:val="000000"/>
      <w:sz w:val="16"/>
      <w:szCs w:val="16"/>
      <w:lang w:val="en-US" w:eastAsia="ru-RU"/>
    </w:rPr>
  </w:style>
  <w:style w:type="character" w:styleId="886" w:customStyle="1">
    <w:name w:val="Верхний колонтитул Знак"/>
    <w:link w:val="734"/>
    <w:uiPriority w:val="99"/>
    <w:rPr>
      <w:rFonts w:ascii="Times New Roman" w:hAnsi="Times New Roman" w:cs="Times New Roman"/>
      <w:color w:val="000000"/>
      <w:sz w:val="28"/>
      <w:szCs w:val="28"/>
      <w:lang w:val="en-US" w:eastAsia="ru-RU"/>
    </w:rPr>
  </w:style>
  <w:style w:type="character" w:styleId="887" w:customStyle="1">
    <w:name w:val="Нижний колонтитул Знак"/>
    <w:link w:val="736"/>
    <w:uiPriority w:val="99"/>
    <w:rPr>
      <w:rFonts w:ascii="Times New Roman" w:hAnsi="Times New Roman" w:cs="Times New Roman"/>
      <w:color w:val="000000"/>
      <w:sz w:val="28"/>
      <w:szCs w:val="28"/>
      <w:lang w:val="en-US" w:eastAsia="ru-RU"/>
    </w:rPr>
  </w:style>
  <w:style w:type="paragraph" w:styleId="888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889">
    <w:name w:val="Document Map"/>
    <w:basedOn w:val="687"/>
    <w:link w:val="89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90" w:customStyle="1">
    <w:name w:val="Схема документа Знак"/>
    <w:link w:val="889"/>
    <w:uiPriority w:val="99"/>
    <w:semiHidden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KOMPOFIN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91</cp:revision>
  <dcterms:created xsi:type="dcterms:W3CDTF">2022-08-10T00:12:00Z</dcterms:created>
  <dcterms:modified xsi:type="dcterms:W3CDTF">2024-12-02T08:54:13Z</dcterms:modified>
  <cp:version>1048576</cp:version>
</cp:coreProperties>
</file>