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after="0" w:line="240" w:lineRule="auto"/>
        <w:widowControl w:val="off"/>
        <w:rPr>
          <w:rFonts w:ascii="Arial" w:hAnsi="Arial" w:eastAsia="Times New Roman" w:cs="Arial"/>
          <w:sz w:val="2"/>
          <w:szCs w:val="2"/>
          <w:lang w:eastAsia="ru-RU"/>
        </w:rPr>
      </w:pPr>
      <w:r>
        <w:rPr>
          <w:rFonts w:ascii="Arial" w:hAnsi="Arial" w:eastAsia="Times New Roman" w:cs="Arial"/>
          <w:sz w:val="2"/>
          <w:szCs w:val="2"/>
          <w:lang w:eastAsia="ru-RU"/>
        </w:rPr>
      </w:r>
      <w:r>
        <w:rPr>
          <w:rFonts w:ascii="Arial" w:hAnsi="Arial" w:eastAsia="Times New Roman" w:cs="Arial"/>
          <w:sz w:val="2"/>
          <w:szCs w:val="2"/>
          <w:lang w:eastAsia="ru-RU"/>
        </w:rPr>
      </w:r>
      <w:r>
        <w:rPr>
          <w:rFonts w:ascii="Arial" w:hAnsi="Arial" w:eastAsia="Times New Roman" w:cs="Arial"/>
          <w:sz w:val="2"/>
          <w:szCs w:val="2"/>
          <w:lang w:eastAsia="ru-RU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07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907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07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07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10"/>
          <w:szCs w:val="10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10"/>
          <w:szCs w:val="10"/>
          <w:lang w:eastAsia="ru-RU"/>
        </w:rPr>
      </w:r>
      <w:r>
        <w:rPr>
          <w:rFonts w:ascii="Times New Roman" w:hAnsi="Times New Roman" w:eastAsia="Times New Roman"/>
          <w:bCs/>
          <w:sz w:val="10"/>
          <w:szCs w:val="10"/>
          <w:lang w:eastAsia="ru-RU"/>
        </w:rPr>
      </w:r>
      <w:r>
        <w:rPr>
          <w:rFonts w:ascii="Times New Roman" w:hAnsi="Times New Roman" w:eastAsia="Times New Roman"/>
          <w:bCs/>
          <w:sz w:val="10"/>
          <w:szCs w:val="10"/>
          <w:lang w:eastAsia="ru-RU"/>
        </w:rPr>
      </w:r>
    </w:p>
    <w:p>
      <w:pPr>
        <w:pStyle w:val="907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в региональную программу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Забайкальского края «</w:t>
      </w:r>
      <w:r>
        <w:rPr>
          <w:rFonts w:ascii="Times New Roman" w:hAnsi="Times New Roman"/>
          <w:b/>
          <w:sz w:val="28"/>
          <w:szCs w:val="28"/>
        </w:rPr>
        <w:t xml:space="preserve">Модернизация систем коммуна</w:t>
      </w:r>
      <w:r>
        <w:rPr>
          <w:rFonts w:ascii="Times New Roman" w:hAnsi="Times New Roman"/>
          <w:b/>
          <w:sz w:val="28"/>
          <w:szCs w:val="28"/>
        </w:rPr>
        <w:t xml:space="preserve">льной инфраструктуры (2023–2027 </w:t>
      </w:r>
      <w:r>
        <w:rPr>
          <w:rFonts w:ascii="Times New Roman" w:hAnsi="Times New Roman"/>
          <w:b/>
          <w:sz w:val="28"/>
          <w:szCs w:val="28"/>
        </w:rPr>
        <w:t xml:space="preserve">годы)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90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pStyle w:val="907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твердить прилагаемые изменения, которые вносятся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региональную программу Забайкальского края «Модернизация систем коммунальной инфраструктуры (2023–2027 годы)», утвержденную постановлением Правительства Забайкальского края от 7 июля 2023 года № 349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(с изменениями, внесенными постановлени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Правительства Забайкальского края от 29 декабря 20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743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от 25 апреля 2024 года № 208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5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tabs>
          <w:tab w:val="left" w:pos="737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А.М.Осипов</w:t>
      </w:r>
      <w:r>
        <w:rPr>
          <w:sz w:val="28"/>
          <w:szCs w:val="28"/>
        </w:rPr>
      </w:r>
    </w:p>
    <w:p>
      <w:pPr>
        <w:pStyle w:val="907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5245"/>
        <w:jc w:val="center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Style w:val="907"/>
        <w:ind w:left="524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5245"/>
        <w:jc w:val="center"/>
        <w:spacing w:after="0" w:line="240" w:lineRule="auto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ascii="Times New Roman" w:hAnsi="Times New Roman" w:eastAsia="Times New Roman"/>
          <w:sz w:val="12"/>
          <w:szCs w:val="12"/>
          <w:lang w:eastAsia="ru-RU"/>
        </w:rPr>
      </w:r>
      <w:r>
        <w:rPr>
          <w:rFonts w:ascii="Times New Roman" w:hAnsi="Times New Roman" w:eastAsia="Times New Roman"/>
          <w:sz w:val="12"/>
          <w:szCs w:val="12"/>
          <w:lang w:eastAsia="ru-RU"/>
        </w:rPr>
      </w:r>
      <w:r>
        <w:rPr>
          <w:rFonts w:ascii="Times New Roman" w:hAnsi="Times New Roman" w:eastAsia="Times New Roman"/>
          <w:sz w:val="12"/>
          <w:szCs w:val="12"/>
          <w:lang w:eastAsia="ru-RU"/>
        </w:rPr>
      </w:r>
    </w:p>
    <w:p>
      <w:pPr>
        <w:pStyle w:val="907"/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Забайкальского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jc w:val="center"/>
        <w:spacing w:before="840"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ИЗМЕНЕНИЯ,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07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которые вносятся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региональную программу Забайкальского края «Модернизация систем коммунальной инфраструктуры (2023–2027 годы)»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утвержденную постановлением Правительства Забайкальского края от 7 июля 2023 года № 349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907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13"/>
        <w:numPr>
          <w:ilvl w:val="0"/>
          <w:numId w:val="20"/>
        </w:numPr>
        <w:ind w:left="0" w:firstLine="709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паспорте региональной программы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numPr>
          <w:ilvl w:val="0"/>
          <w:numId w:val="29"/>
        </w:numPr>
        <w:ind w:left="0" w:firstLine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позици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«Объем и источники финансирования региональной программы»: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709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абзаце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одиннадцатом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цифры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970 714,09192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заменить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цифрами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89 790,30645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709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в абзаце двенадцатом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цифры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461 400,00000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заменить цифрами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35 300,36826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709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 в абзаце тринадцатом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цифры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183 97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заменить цифрами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28 552,20651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907"/>
        <w:ind w:left="709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г) в абзаце четырнадцатом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цифры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59 033,93645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заменить цифрами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25 937,73168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709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д) в абзаце пятнадцатом цифры «266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306,15547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заменить цифр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left="709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е) дополнить абзацами следующего содержания: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бщий объем финансирования региональной программы на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 составляет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880 923,78547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рублей, в том числе: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фонда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426 099,63174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краевого бюджета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155 421,79349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местных бюджетов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33 096,20477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внебюджетных источников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266 306,15547 тыс. рублей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3"/>
        <w:numPr>
          <w:ilvl w:val="0"/>
          <w:numId w:val="20"/>
        </w:numPr>
        <w:ind w:left="0" w:firstLine="709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региональной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программе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07"/>
        <w:jc w:val="both"/>
        <w:spacing w:after="0" w:line="240" w:lineRule="auto"/>
        <w:widowControl w:val="off"/>
        <w:tabs>
          <w:tab w:val="left" w:pos="-567" w:leader="none"/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993" w:left="1985" w:header="454" w:footer="51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ind w:firstLine="0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2020"/>
      <w:numFmt w:val="decimal"/>
      <w:isLgl w:val="false"/>
      <w:suff w:val="tab"/>
      <w:lvlText w:val="%1"/>
      <w:lvlJc w:val="left"/>
      <w:pPr>
        <w:ind w:left="500" w:hanging="5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0" w:hanging="180"/>
      </w:pPr>
    </w:lvl>
  </w:abstractNum>
  <w:abstractNum w:abstractNumId="6">
    <w:multiLevelType w:val="hybridMultilevel"/>
    <w:lvl w:ilvl="0">
      <w:start w:val="1"/>
      <w:numFmt w:val="thaiNumbers"/>
      <w:isLgl w:val="false"/>
      <w:suff w:val="space"/>
      <w:lvlText w:val="%1)"/>
      <w:lvlJc w:val="left"/>
      <w:pPr>
        <w:ind w:left="2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thaiNumbers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5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2020"/>
      <w:numFmt w:val="decimal"/>
      <w:isLgl w:val="false"/>
      <w:suff w:val="tab"/>
      <w:lvlText w:val="%1"/>
      <w:lvlJc w:val="left"/>
      <w:pPr>
        <w:ind w:left="920" w:hanging="5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thaiNumbers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5040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25"/>
  </w:num>
  <w:num w:numId="5">
    <w:abstractNumId w:val="2"/>
  </w:num>
  <w:num w:numId="6">
    <w:abstractNumId w:val="4"/>
  </w:num>
  <w:num w:numId="7">
    <w:abstractNumId w:val="17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8"/>
  </w:num>
  <w:num w:numId="17">
    <w:abstractNumId w:val="1"/>
  </w:num>
  <w:num w:numId="18">
    <w:abstractNumId w:val="7"/>
  </w:num>
  <w:num w:numId="19">
    <w:abstractNumId w:val="3"/>
  </w:num>
  <w:num w:numId="20">
    <w:abstractNumId w:val="19"/>
  </w:num>
  <w:num w:numId="21">
    <w:abstractNumId w:val="27"/>
  </w:num>
  <w:num w:numId="22">
    <w:abstractNumId w:val="20"/>
  </w:num>
  <w:num w:numId="23">
    <w:abstractNumId w:val="0"/>
  </w:num>
  <w:num w:numId="24">
    <w:abstractNumId w:val="6"/>
  </w:num>
  <w:num w:numId="25">
    <w:abstractNumId w:val="12"/>
  </w:num>
  <w:num w:numId="26">
    <w:abstractNumId w:val="8"/>
  </w:num>
  <w:num w:numId="27">
    <w:abstractNumId w:val="11"/>
  </w:num>
  <w:num w:numId="28">
    <w:abstractNumId w:val="24"/>
  </w:num>
  <w:num w:numId="29">
    <w:abstractNumId w:val="22"/>
  </w:num>
  <w:num w:numId="30">
    <w:abstractNumId w:val="23"/>
  </w:num>
  <w:num w:numId="31">
    <w:abstractNumId w:val="10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0">
    <w:name w:val="Heading 1 Char"/>
    <w:link w:val="729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link w:val="733"/>
    <w:uiPriority w:val="9"/>
    <w:rPr>
      <w:rFonts w:ascii="Arial" w:hAnsi="Arial" w:eastAsia="Arial" w:cs="Arial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08">
    <w:name w:val="Основной шрифт абзаца"/>
    <w:next w:val="908"/>
    <w:link w:val="907"/>
    <w:uiPriority w:val="1"/>
    <w:unhideWhenUsed/>
  </w:style>
  <w:style w:type="table" w:styleId="909">
    <w:name w:val="Обычная таблица"/>
    <w:next w:val="909"/>
    <w:link w:val="907"/>
    <w:uiPriority w:val="99"/>
    <w:semiHidden/>
    <w:unhideWhenUsed/>
    <w:qFormat/>
    <w:tblPr/>
  </w:style>
  <w:style w:type="numbering" w:styleId="910">
    <w:name w:val="Нет списка"/>
    <w:next w:val="910"/>
    <w:link w:val="907"/>
    <w:uiPriority w:val="99"/>
    <w:semiHidden/>
    <w:unhideWhenUsed/>
  </w:style>
  <w:style w:type="paragraph" w:styleId="911">
    <w:name w:val="Верхний колонтитул"/>
    <w:basedOn w:val="907"/>
    <w:next w:val="911"/>
    <w:link w:val="912"/>
    <w:uiPriority w:val="99"/>
    <w:unhideWhenUsed/>
    <w:pPr>
      <w:ind w:firstLine="720"/>
      <w:jc w:val="both"/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Arial" w:hAnsi="Arial" w:eastAsia="Times New Roman"/>
      <w:sz w:val="24"/>
      <w:szCs w:val="24"/>
      <w:lang w:val="en-US" w:eastAsia="ru-RU"/>
    </w:rPr>
  </w:style>
  <w:style w:type="character" w:styleId="912">
    <w:name w:val="Верхний колонтитул Знак"/>
    <w:next w:val="912"/>
    <w:link w:val="911"/>
    <w:uiPriority w:val="99"/>
    <w:rPr>
      <w:rFonts w:ascii="Arial" w:hAnsi="Arial" w:eastAsia="Times New Roman" w:cs="Arial"/>
      <w:sz w:val="24"/>
      <w:szCs w:val="24"/>
      <w:lang w:eastAsia="ru-RU"/>
    </w:rPr>
  </w:style>
  <w:style w:type="paragraph" w:styleId="913">
    <w:name w:val="Абзац списка"/>
    <w:basedOn w:val="907"/>
    <w:next w:val="913"/>
    <w:link w:val="907"/>
    <w:uiPriority w:val="34"/>
    <w:qFormat/>
    <w:pPr>
      <w:contextualSpacing/>
      <w:ind w:left="720"/>
    </w:pPr>
  </w:style>
  <w:style w:type="character" w:styleId="914">
    <w:name w:val="Строгий"/>
    <w:next w:val="914"/>
    <w:link w:val="907"/>
    <w:uiPriority w:val="99"/>
    <w:qFormat/>
    <w:rPr>
      <w:rFonts w:cs="Times New Roman"/>
      <w:b/>
      <w:bCs/>
    </w:rPr>
  </w:style>
  <w:style w:type="paragraph" w:styleId="915">
    <w:name w:val="ConsPlusNormal"/>
    <w:next w:val="915"/>
    <w:link w:val="921"/>
    <w:qFormat/>
    <w:pPr>
      <w:ind w:firstLine="720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916">
    <w:name w:val="Текст выноски"/>
    <w:basedOn w:val="907"/>
    <w:next w:val="916"/>
    <w:link w:val="91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8">
    <w:name w:val="Гиперссылка"/>
    <w:next w:val="918"/>
    <w:link w:val="907"/>
    <w:uiPriority w:val="99"/>
    <w:semiHidden/>
    <w:unhideWhenUsed/>
    <w:rPr>
      <w:color w:val="0000ff"/>
      <w:u w:val="single"/>
    </w:rPr>
  </w:style>
  <w:style w:type="paragraph" w:styleId="919">
    <w:name w:val="Знак Знак Знак2"/>
    <w:basedOn w:val="907"/>
    <w:next w:val="919"/>
    <w:link w:val="907"/>
    <w:uiPriority w:val="99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20">
    <w:name w:val="ConsPlusNonformat"/>
    <w:next w:val="920"/>
    <w:link w:val="907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21">
    <w:name w:val="ConsPlusNormal Знак"/>
    <w:next w:val="921"/>
    <w:link w:val="915"/>
    <w:rPr>
      <w:rFonts w:ascii="Arial" w:hAnsi="Arial" w:eastAsia="Times New Roman" w:cs="Arial"/>
      <w:sz w:val="22"/>
      <w:szCs w:val="22"/>
      <w:lang w:eastAsia="ru-RU" w:bidi="ar-SA"/>
    </w:rPr>
  </w:style>
  <w:style w:type="paragraph" w:styleId="922">
    <w:name w:val="Нижний колонтитул"/>
    <w:basedOn w:val="907"/>
    <w:next w:val="922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>
    <w:name w:val="Нижний колонтитул Знак"/>
    <w:basedOn w:val="908"/>
    <w:next w:val="923"/>
    <w:link w:val="922"/>
    <w:uiPriority w:val="99"/>
  </w:style>
  <w:style w:type="table" w:styleId="924">
    <w:name w:val="Сетка таблицы"/>
    <w:basedOn w:val="909"/>
    <w:next w:val="924"/>
    <w:link w:val="907"/>
    <w:uiPriority w:val="59"/>
    <w:pPr>
      <w:spacing w:after="0" w:line="240" w:lineRule="auto"/>
    </w:pPr>
    <w:tblPr/>
  </w:style>
  <w:style w:type="character" w:styleId="925">
    <w:name w:val="Просмотренная гиперссылка"/>
    <w:next w:val="925"/>
    <w:link w:val="907"/>
    <w:uiPriority w:val="99"/>
    <w:semiHidden/>
    <w:unhideWhenUsed/>
    <w:rPr>
      <w:color w:val="800080"/>
      <w:u w:val="single"/>
    </w:rPr>
  </w:style>
  <w:style w:type="paragraph" w:styleId="926">
    <w:name w:val="xl65"/>
    <w:basedOn w:val="907"/>
    <w:next w:val="926"/>
    <w:link w:val="90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7">
    <w:name w:val="xl66"/>
    <w:basedOn w:val="907"/>
    <w:next w:val="927"/>
    <w:link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28">
    <w:name w:val="xl67"/>
    <w:basedOn w:val="907"/>
    <w:next w:val="928"/>
    <w:link w:val="90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29">
    <w:name w:val="xl68"/>
    <w:basedOn w:val="907"/>
    <w:next w:val="929"/>
    <w:link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0">
    <w:name w:val="xl69"/>
    <w:basedOn w:val="907"/>
    <w:next w:val="930"/>
    <w:link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1">
    <w:name w:val="xl70"/>
    <w:basedOn w:val="907"/>
    <w:next w:val="931"/>
    <w:link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2">
    <w:name w:val="xl71"/>
    <w:basedOn w:val="907"/>
    <w:next w:val="932"/>
    <w:link w:val="90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3">
    <w:name w:val="xl72"/>
    <w:basedOn w:val="907"/>
    <w:next w:val="933"/>
    <w:link w:val="90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4">
    <w:name w:val="Нормальный (таблица)"/>
    <w:basedOn w:val="907"/>
    <w:next w:val="907"/>
    <w:link w:val="907"/>
    <w:uiPriority w:val="99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35">
    <w:name w:val="Прижатый влево"/>
    <w:basedOn w:val="907"/>
    <w:next w:val="907"/>
    <w:link w:val="907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36">
    <w:name w:val="Знак примечания"/>
    <w:next w:val="936"/>
    <w:link w:val="907"/>
    <w:uiPriority w:val="99"/>
    <w:semiHidden/>
    <w:unhideWhenUsed/>
    <w:rPr>
      <w:sz w:val="16"/>
      <w:szCs w:val="16"/>
    </w:rPr>
  </w:style>
  <w:style w:type="paragraph" w:styleId="937">
    <w:name w:val="Текст примечания"/>
    <w:basedOn w:val="907"/>
    <w:next w:val="937"/>
    <w:link w:val="938"/>
    <w:uiPriority w:val="99"/>
    <w:semiHidden/>
    <w:unhideWhenUsed/>
    <w:rPr>
      <w:sz w:val="20"/>
      <w:szCs w:val="20"/>
    </w:rPr>
  </w:style>
  <w:style w:type="character" w:styleId="938">
    <w:name w:val="Текст примечания Знак"/>
    <w:next w:val="938"/>
    <w:link w:val="937"/>
    <w:uiPriority w:val="99"/>
    <w:semiHidden/>
    <w:rPr>
      <w:lang w:eastAsia="en-US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revision>17</cp:revision>
  <dcterms:created xsi:type="dcterms:W3CDTF">2023-12-25T02:48:00Z</dcterms:created>
  <dcterms:modified xsi:type="dcterms:W3CDTF">2024-12-13T02:20:55Z</dcterms:modified>
  <cp:version>1048576</cp:version>
</cp:coreProperties>
</file>