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58" w:type="dxa"/>
        <w:tblInd w:w="3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50"/>
        <w:gridCol w:w="3102"/>
        <w:gridCol w:w="3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0" w:type="dxa"/>
            <w:vAlign w:val="top"/>
            <w:textDirection w:val="lrTb"/>
            <w:noWrap w:val="false"/>
          </w:tcPr>
          <w:p>
            <w:pPr>
              <w:pStyle w:val="867"/>
              <w:ind w:left="48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  <w:p>
            <w:pPr>
              <w:pStyle w:val="867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2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tabs>
                <w:tab w:val="left" w:pos="1139" w:leader="none"/>
              </w:tabs>
              <w:rPr>
                <w:sz w:val="2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2499" cy="86795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2499" cy="867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2.40pt;height:68.34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7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6" w:type="dxa"/>
            <w:vAlign w:val="top"/>
            <w:textDirection w:val="lrTb"/>
            <w:noWrap w:val="false"/>
          </w:tcPr>
          <w:p>
            <w:pPr>
              <w:pStyle w:val="867"/>
              <w:jc w:val="right"/>
              <w:tabs>
                <w:tab w:val="left" w:pos="1139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7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67"/>
        <w:jc w:val="center"/>
        <w:shd w:val="clear" w:color="auto" w:fill="ffffff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pStyle w:val="867"/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67"/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67"/>
        <w:jc w:val="center"/>
        <w:rPr>
          <w:sz w:val="24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sz w:val="24"/>
        </w:rPr>
      </w:r>
      <w:r>
        <w:rPr>
          <w:sz w:val="24"/>
        </w:rPr>
      </w:r>
    </w:p>
    <w:p>
      <w:pPr>
        <w:pStyle w:val="867"/>
        <w:jc w:val="center"/>
      </w:pPr>
      <w:r/>
      <w:r/>
    </w:p>
    <w:p>
      <w:pPr>
        <w:pStyle w:val="867"/>
        <w:jc w:val="center"/>
      </w:pPr>
      <w:r/>
      <w:r/>
    </w:p>
    <w:p>
      <w:pPr>
        <w:pStyle w:val="867"/>
        <w:jc w:val="center"/>
        <w:rPr>
          <w:b/>
        </w:rPr>
      </w:pPr>
      <w:r>
        <w:rPr>
          <w:b/>
        </w:rPr>
        <w:t xml:space="preserve">О распределении дотаций, предоставляемых в 202</w:t>
      </w:r>
      <w:r>
        <w:rPr>
          <w:b/>
        </w:rPr>
        <w:t xml:space="preserve">4</w:t>
      </w:r>
      <w:r>
        <w:rPr>
          <w:b/>
        </w:rPr>
        <w:t xml:space="preserve"> году из бюджета Забайкальского края бюджетам муниципальных районов (муниципальных округов, городских округов) Забайкальского края </w:t>
      </w:r>
      <w:r>
        <w:rPr>
          <w:b/>
        </w:rPr>
      </w:r>
      <w:r>
        <w:rPr>
          <w:b/>
        </w:rPr>
      </w:r>
    </w:p>
    <w:p>
      <w:pPr>
        <w:pStyle w:val="867"/>
        <w:jc w:val="center"/>
        <w:rPr>
          <w:b/>
        </w:rPr>
      </w:pPr>
      <w:r>
        <w:rPr>
          <w:b/>
        </w:rPr>
        <w:t xml:space="preserve">на поддерж</w:t>
      </w:r>
      <w:r>
        <w:rPr>
          <w:b/>
        </w:rPr>
        <w:t xml:space="preserve">ку мер по обеспечению сбалансированности бюджетов муниципальных районов (муниципальных округов, городских округов) Забайкальского края</w:t>
      </w:r>
      <w:r>
        <w:rPr>
          <w:b/>
        </w:rPr>
      </w:r>
      <w:r>
        <w:rPr>
          <w:b/>
        </w:rPr>
      </w:r>
    </w:p>
    <w:p>
      <w:pPr>
        <w:pStyle w:val="867"/>
        <w:jc w:val="center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статьей 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Забайкальского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дек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абря 2011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608-ЗЗК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межбюджетных отношениях в Забайкальском крае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бюджетам муниципальных районов (муниципальных округов, городских округов) Забайкальского края дотаций на поддержку мер по обеспечению сбалансир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бюджетов муниципальных районов (муниципальных округов, городских округов) Забайкальского края из бюджета Забайкальского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Забайкальского края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обеспечения сбалан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44"/>
          <w:sz w:val="28"/>
          <w:szCs w:val="28"/>
        </w:rPr>
      </w:r>
      <w:r>
        <w:rPr>
          <w:rFonts w:ascii="Times New Roman" w:hAnsi="Times New Roman" w:cs="Times New Roman"/>
          <w:spacing w:val="44"/>
          <w:sz w:val="28"/>
          <w:szCs w:val="28"/>
        </w:rPr>
      </w:r>
    </w:p>
    <w:p>
      <w:pPr>
        <w:pStyle w:val="867"/>
        <w:ind w:firstLine="708"/>
        <w:jc w:val="both"/>
      </w:pPr>
      <w:r>
        <w:tab/>
      </w:r>
      <w:r/>
    </w:p>
    <w:p>
      <w:pPr>
        <w:pStyle w:val="867"/>
        <w:ind w:firstLine="709"/>
        <w:jc w:val="both"/>
      </w:pPr>
      <w:r>
        <w:t xml:space="preserve">Р</w:t>
      </w:r>
      <w:r>
        <w:t xml:space="preserve">аспределить </w:t>
      </w:r>
      <w:r>
        <w:t xml:space="preserve">дотации, предоставляемые</w:t>
      </w:r>
      <w:r>
        <w:t xml:space="preserve"> в 202</w:t>
      </w:r>
      <w:r>
        <w:t xml:space="preserve">4</w:t>
      </w:r>
      <w:r>
        <w:t xml:space="preserve"> году из бюджета Забайкальского края бюджетам муниципальных районов (муниципальных округов, го</w:t>
      </w:r>
      <w:r>
        <w:t xml:space="preserve">родских </w:t>
      </w:r>
      <w:r>
        <w:t xml:space="preserve">округов)</w:t>
      </w:r>
      <w:r>
        <w:t xml:space="preserve"> Забайкальского края на поддержку мер по обеспечению сбалансированности бюджетов муниципальных районов (муниципальных округов, городских округов) Забайкальского края </w:t>
      </w:r>
      <w:r>
        <w:t xml:space="preserve">в сумме</w:t>
      </w:r>
      <w:r>
        <w:t xml:space="preserve"> </w:t>
      </w:r>
      <w:r>
        <w:t xml:space="preserve">14</w:t>
      </w:r>
      <w:r>
        <w:t xml:space="preserve"> </w:t>
      </w:r>
      <w:r>
        <w:t xml:space="preserve">790</w:t>
      </w:r>
      <w:r>
        <w:t xml:space="preserve"> </w:t>
      </w:r>
      <w:r>
        <w:t xml:space="preserve">100</w:t>
      </w:r>
      <w:r>
        <w:t xml:space="preserve"> </w:t>
      </w:r>
      <w:r>
        <w:t xml:space="preserve">(четырнадцать</w:t>
      </w:r>
      <w:r>
        <w:t xml:space="preserve"> миллионов </w:t>
      </w:r>
      <w:r>
        <w:t xml:space="preserve">семьсот девяносто тысяч сто</w:t>
      </w:r>
      <w:r>
        <w:t xml:space="preserve">)</w:t>
      </w:r>
      <w:r>
        <w:t xml:space="preserve"> </w:t>
      </w:r>
      <w:r>
        <w:t xml:space="preserve">руб</w:t>
      </w:r>
      <w:r>
        <w:t xml:space="preserve">л</w:t>
      </w:r>
      <w:r>
        <w:t xml:space="preserve">ей</w:t>
      </w:r>
      <w:r>
        <w:rPr>
          <w:bCs/>
        </w:rPr>
        <w:t xml:space="preserve">,</w:t>
      </w:r>
      <w:r>
        <w:t xml:space="preserve"> согласно приложению к настоящему постановлению.</w:t>
      </w:r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</w:pPr>
      <w:r>
        <w:t xml:space="preserve">Первый заместитель </w:t>
      </w:r>
      <w:r/>
    </w:p>
    <w:p>
      <w:pPr>
        <w:pStyle w:val="867"/>
      </w:pPr>
      <w:r>
        <w:t xml:space="preserve">председателя Правительства </w:t>
      </w:r>
      <w:r/>
    </w:p>
    <w:p>
      <w:pPr>
        <w:pStyle w:val="867"/>
      </w:pPr>
      <w:r>
        <w:t xml:space="preserve">Забайкальского края</w:t>
        <w:tab/>
        <w:tab/>
        <w:tab/>
        <w:tab/>
        <w:tab/>
        <w:t xml:space="preserve">                      </w:t>
      </w:r>
      <w:r>
        <w:t xml:space="preserve">        </w:t>
      </w:r>
      <w:r>
        <w:t xml:space="preserve">   А.И.</w:t>
      </w:r>
      <w:r>
        <w:t xml:space="preserve">Кефер </w:t>
      </w:r>
      <w:r/>
    </w:p>
    <w:p>
      <w:pPr>
        <w:pStyle w:val="867"/>
        <w:ind w:left="5245"/>
        <w:jc w:val="center"/>
        <w:spacing w:line="360" w:lineRule="auto"/>
        <w:outlineLvl w:val="0"/>
      </w:pPr>
      <w:r>
        <w:t xml:space="preserve">ПРИЛОЖЕНИЕ</w:t>
      </w:r>
      <w:r/>
    </w:p>
    <w:p>
      <w:pPr>
        <w:pStyle w:val="867"/>
        <w:ind w:left="5245"/>
        <w:jc w:val="center"/>
      </w:pPr>
      <w:r>
        <w:t xml:space="preserve">к постановлению Правительства</w:t>
      </w:r>
      <w:r/>
    </w:p>
    <w:p>
      <w:pPr>
        <w:pStyle w:val="867"/>
        <w:ind w:left="5245"/>
        <w:jc w:val="center"/>
        <w:tabs>
          <w:tab w:val="left" w:pos="5670" w:leader="none"/>
        </w:tabs>
      </w:pPr>
      <w:r>
        <w:t xml:space="preserve">Забайкальского края</w:t>
      </w:r>
      <w:r/>
    </w:p>
    <w:p>
      <w:pPr>
        <w:pStyle w:val="867"/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Style w:val="867"/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Style w:val="867"/>
        <w:jc w:val="center"/>
        <w:rPr>
          <w:b/>
        </w:rPr>
        <w:outlineLvl w:val="0"/>
      </w:pPr>
      <w:r>
        <w:rPr>
          <w:b/>
        </w:rPr>
        <w:t xml:space="preserve">РАСПРЕДЕЛЕНИЕ</w:t>
      </w:r>
      <w:r>
        <w:rPr>
          <w:b/>
        </w:rPr>
      </w:r>
      <w:r>
        <w:rPr>
          <w:b/>
        </w:rPr>
      </w:r>
    </w:p>
    <w:p>
      <w:pPr>
        <w:pStyle w:val="867"/>
        <w:jc w:val="center"/>
        <w:rPr>
          <w:b/>
          <w:highlight w:val="yellow"/>
        </w:rPr>
      </w:pPr>
      <w:r>
        <w:rPr>
          <w:b/>
        </w:rPr>
        <w:t xml:space="preserve">д</w:t>
      </w:r>
      <w:r>
        <w:rPr>
          <w:b/>
        </w:rPr>
        <w:t xml:space="preserve">о</w:t>
      </w:r>
      <w:r>
        <w:rPr>
          <w:b/>
        </w:rPr>
        <w:t xml:space="preserve">т</w:t>
      </w:r>
      <w:r>
        <w:rPr>
          <w:b/>
        </w:rPr>
        <w:t xml:space="preserve">а</w:t>
      </w:r>
      <w:r>
        <w:rPr>
          <w:b/>
        </w:rPr>
        <w:t xml:space="preserve">ций,</w:t>
      </w:r>
      <w:r>
        <w:rPr>
          <w:b/>
        </w:rPr>
        <w:t xml:space="preserve"> пред</w:t>
      </w:r>
      <w:r>
        <w:rPr>
          <w:b/>
        </w:rPr>
        <w:t xml:space="preserve">оставляемых в 202</w:t>
      </w:r>
      <w:r>
        <w:rPr>
          <w:b/>
        </w:rPr>
        <w:t xml:space="preserve">4</w:t>
      </w:r>
      <w:r>
        <w:rPr>
          <w:b/>
        </w:rPr>
        <w:t xml:space="preserve">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(муниципальны</w:t>
      </w:r>
      <w:r>
        <w:rPr>
          <w:b/>
        </w:rPr>
        <w:t xml:space="preserve">х </w:t>
      </w:r>
      <w:r>
        <w:rPr>
          <w:b/>
        </w:rPr>
        <w:t xml:space="preserve">о</w:t>
      </w:r>
      <w:r>
        <w:rPr>
          <w:b/>
        </w:rPr>
        <w:t xml:space="preserve">круг</w:t>
      </w:r>
      <w:r>
        <w:rPr>
          <w:b/>
        </w:rPr>
        <w:t xml:space="preserve">ов, г</w:t>
      </w:r>
      <w:r>
        <w:rPr>
          <w:b/>
        </w:rPr>
        <w:t xml:space="preserve">ородских округов) Забайкальского края</w:t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Style w:val="867"/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1"/>
          <w:tblHeader/>
        </w:trPr>
        <w:tc>
          <w:tcPr>
            <w:tcW w:w="709" w:type="dxa"/>
            <w:vAlign w:val="center"/>
            <w:textDirection w:val="lrTb"/>
            <w:noWrap/>
          </w:tcPr>
          <w:p>
            <w:pPr>
              <w:pStyle w:val="867"/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095" w:type="dxa"/>
            <w:vAlign w:val="center"/>
            <w:textDirection w:val="lrTb"/>
            <w:noWrap/>
          </w:tcPr>
          <w:p>
            <w:pPr>
              <w:pStyle w:val="867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бюджетов муниципальных образований Забайкальского края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рублей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67"/>
        <w:rPr>
          <w:sz w:val="2"/>
          <w:szCs w:val="2"/>
          <w:highlight w:val="yellow"/>
        </w:rPr>
      </w:pP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/>
          <w:tblHeader/>
        </w:trPr>
        <w:tc>
          <w:tcPr>
            <w:tcW w:w="709" w:type="dxa"/>
            <w:vAlign w:val="top"/>
            <w:textDirection w:val="lrTb"/>
            <w:noWrap/>
          </w:tcPr>
          <w:p>
            <w:pPr>
              <w:pStyle w:val="867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6095" w:type="dxa"/>
            <w:vAlign w:val="top"/>
            <w:textDirection w:val="lrTb"/>
            <w:noWrap/>
          </w:tcPr>
          <w:p>
            <w:pPr>
              <w:pStyle w:val="867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widowControl w:val="off"/>
            </w:pPr>
            <w:r>
              <w:t xml:space="preserve">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/>
        </w:trPr>
        <w:tc>
          <w:tcPr>
            <w:tcW w:w="709" w:type="dxa"/>
            <w:vAlign w:val="top"/>
            <w:textDirection w:val="lrTb"/>
            <w:noWrap/>
          </w:tcPr>
          <w:p>
            <w:pPr>
              <w:pStyle w:val="867"/>
              <w:jc w:val="center"/>
            </w:pPr>
            <w:r>
              <w:t xml:space="preserve">1</w:t>
            </w:r>
            <w:r>
              <w:t xml:space="preserve">.</w:t>
            </w:r>
            <w:r/>
          </w:p>
        </w:tc>
        <w:tc>
          <w:tcPr>
            <w:tcW w:w="6095" w:type="dxa"/>
            <w:vAlign w:val="top"/>
            <w:textDirection w:val="lrTb"/>
            <w:noWrap/>
          </w:tcPr>
          <w:p>
            <w:pPr>
              <w:pStyle w:val="867"/>
            </w:pPr>
            <w:r>
              <w:t xml:space="preserve">Бюджет муниципальн</w:t>
            </w:r>
            <w:r>
              <w:t xml:space="preserve">ого района</w:t>
            </w:r>
            <w:r>
              <w:t xml:space="preserve"> «Петро</w:t>
            </w:r>
            <w:r>
              <w:t xml:space="preserve">вск-Забайкальский район», преобразованного в Петровск-Забайкальский муниципальный округ Забайкальского края</w:t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11 243 800,0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/>
        </w:trPr>
        <w:tc>
          <w:tcPr>
            <w:tcW w:w="709" w:type="dxa"/>
            <w:vAlign w:val="top"/>
            <w:textDirection w:val="lrTb"/>
            <w:noWrap/>
          </w:tcPr>
          <w:p>
            <w:pPr>
              <w:pStyle w:val="867"/>
              <w:jc w:val="center"/>
            </w:pPr>
            <w:r>
              <w:t xml:space="preserve">2</w:t>
            </w:r>
            <w:r>
              <w:t xml:space="preserve">.</w:t>
            </w:r>
            <w:r/>
          </w:p>
        </w:tc>
        <w:tc>
          <w:tcPr>
            <w:tcW w:w="6095" w:type="dxa"/>
            <w:vAlign w:val="top"/>
            <w:textDirection w:val="lrTb"/>
            <w:noWrap/>
          </w:tcPr>
          <w:p>
            <w:pPr>
              <w:pStyle w:val="867"/>
            </w:pPr>
            <w:r>
              <w:t xml:space="preserve">Бюджет городского округа закрытое административно-территориальное образование п. Горный Забайкальского края</w:t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3 546 300,0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/>
        </w:trPr>
        <w:tc>
          <w:tcPr>
            <w:tcW w:w="709" w:type="dxa"/>
            <w:vAlign w:val="top"/>
            <w:textDirection w:val="lrTb"/>
            <w:noWrap/>
          </w:tcPr>
          <w:p>
            <w:pPr>
              <w:pStyle w:val="867"/>
              <w:jc w:val="center"/>
            </w:pPr>
            <w:r/>
            <w:r/>
          </w:p>
        </w:tc>
        <w:tc>
          <w:tcPr>
            <w:tcW w:w="6095" w:type="dxa"/>
            <w:vAlign w:val="top"/>
            <w:textDirection w:val="lrTb"/>
            <w:noWrap/>
          </w:tcPr>
          <w:p>
            <w:pPr>
              <w:pStyle w:val="867"/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b/>
              </w:rPr>
            </w:pPr>
            <w:r>
              <w:rPr>
                <w:b/>
              </w:rPr>
              <w:t xml:space="preserve">14 790 100,0</w:t>
            </w:r>
            <w:r>
              <w:rPr>
                <w:b/>
              </w:rPr>
            </w:r>
          </w:p>
        </w:tc>
      </w:tr>
    </w:tbl>
    <w:p>
      <w:pPr>
        <w:pStyle w:val="867"/>
        <w:jc w:val="center"/>
      </w:pPr>
      <w:r/>
      <w:r/>
    </w:p>
    <w:p>
      <w:pPr>
        <w:pStyle w:val="867"/>
        <w:jc w:val="center"/>
      </w:pPr>
      <w:r>
        <w:t xml:space="preserve">____</w:t>
      </w:r>
      <w:r>
        <w:t xml:space="preserve">______________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874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/>
    <w:r/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rPr>
      <w:rFonts w:ascii="Times New Roman" w:hAnsi="Times New Roman" w:cs="Times New Roman"/>
      <w:color w:val="000000"/>
      <w:sz w:val="28"/>
      <w:szCs w:val="28"/>
      <w:lang w:val="ru-RU" w:eastAsia="ru-RU" w:bidi="ar-SA"/>
    </w:rPr>
  </w:style>
  <w:style w:type="character" w:styleId="868">
    <w:name w:val="Основной шрифт абзаца"/>
    <w:next w:val="868"/>
    <w:link w:val="867"/>
    <w:uiPriority w:val="1"/>
    <w:semiHidden/>
    <w:unhideWhenUsed/>
  </w:style>
  <w:style w:type="table" w:styleId="869">
    <w:name w:val="Обычная таблица"/>
    <w:next w:val="869"/>
    <w:link w:val="867"/>
    <w:uiPriority w:val="99"/>
    <w:semiHidden/>
    <w:unhideWhenUsed/>
    <w:qFormat/>
    <w:tblPr/>
  </w:style>
  <w:style w:type="numbering" w:styleId="870">
    <w:name w:val="Нет списка"/>
    <w:next w:val="870"/>
    <w:link w:val="867"/>
    <w:uiPriority w:val="99"/>
    <w:semiHidden/>
    <w:unhideWhenUsed/>
  </w:style>
  <w:style w:type="paragraph" w:styleId="871">
    <w:name w:val="Текст выноски"/>
    <w:basedOn w:val="867"/>
    <w:next w:val="871"/>
    <w:link w:val="87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color w:val="000000"/>
      <w:sz w:val="16"/>
      <w:szCs w:val="16"/>
      <w:lang w:val="en-US" w:eastAsia="ru-RU"/>
    </w:rPr>
  </w:style>
  <w:style w:type="table" w:styleId="873">
    <w:name w:val="Сетка таблицы"/>
    <w:basedOn w:val="869"/>
    <w:next w:val="873"/>
    <w:link w:val="867"/>
    <w:uiPriority w:val="59"/>
    <w:rPr>
      <w:rFonts w:ascii="Times New Roman" w:hAnsi="Times New Roman" w:cs="Times New Roman"/>
    </w:rPr>
    <w:tblPr/>
  </w:style>
  <w:style w:type="paragraph" w:styleId="874">
    <w:name w:val="Верхний колонтитул"/>
    <w:basedOn w:val="867"/>
    <w:next w:val="874"/>
    <w:link w:val="87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5">
    <w:name w:val="Верхний колонтитул Знак"/>
    <w:next w:val="875"/>
    <w:link w:val="874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styleId="876">
    <w:name w:val="Нижний колонтитул"/>
    <w:basedOn w:val="867"/>
    <w:next w:val="876"/>
    <w:link w:val="87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Нижний колонтитул Знак"/>
    <w:next w:val="877"/>
    <w:link w:val="876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styleId="878">
    <w:name w:val="ConsPlusNormal"/>
    <w:next w:val="878"/>
    <w:link w:val="86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9">
    <w:name w:val="Схема документа"/>
    <w:basedOn w:val="867"/>
    <w:next w:val="879"/>
    <w:link w:val="88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80">
    <w:name w:val="Схема документа Знак"/>
    <w:next w:val="880"/>
    <w:link w:val="879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KOMPOFIN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72</cp:revision>
  <dcterms:created xsi:type="dcterms:W3CDTF">2022-08-10T00:12:00Z</dcterms:created>
  <dcterms:modified xsi:type="dcterms:W3CDTF">2024-12-17T05:48:58Z</dcterms:modified>
  <cp:version>1048576</cp:version>
</cp:coreProperties>
</file>