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58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50"/>
        <w:gridCol w:w="3102"/>
        <w:gridCol w:w="3606"/>
      </w:tblGrid>
      <w:tr>
        <w:tblPrEx/>
        <w:trPr>
          <w:trHeight w:val="15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0" w:type="dxa"/>
            <w:textDirection w:val="lrTb"/>
            <w:noWrap w:val="false"/>
          </w:tcPr>
          <w:p>
            <w:pPr>
              <w:ind w:left="489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2" w:type="dxa"/>
            <w:textDirection w:val="lrTb"/>
            <w:noWrap w:val="false"/>
          </w:tcPr>
          <w:p>
            <w:pPr>
              <w:jc w:val="center"/>
              <w:tabs>
                <w:tab w:val="left" w:pos="1139" w:leader="none"/>
              </w:tabs>
              <w:rPr>
                <w:sz w:val="24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92499" cy="867956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92499" cy="867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2.40pt;height:68.34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6" w:type="dxa"/>
            <w:textDirection w:val="lrTb"/>
            <w:noWrap w:val="false"/>
          </w:tcPr>
          <w:p>
            <w:pPr>
              <w:jc w:val="right"/>
              <w:tabs>
                <w:tab w:val="left" w:pos="1139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center" w:pos="4678" w:leader="none"/>
                <w:tab w:val="left" w:pos="4956" w:leader="none"/>
                <w:tab w:val="left" w:pos="5664" w:leader="none"/>
                <w:tab w:val="right" w:pos="9357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jc w:val="center"/>
        <w:shd w:val="clear" w:color="auto" w:fill="ffffff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ind w:left="19"/>
        <w:jc w:val="center"/>
        <w:spacing w:before="130"/>
        <w:shd w:val="clear" w:color="auto" w:fill="ffffff"/>
        <w:rPr>
          <w:bCs/>
          <w:spacing w:val="-14"/>
          <w:sz w:val="6"/>
          <w:szCs w:val="6"/>
        </w:rPr>
        <w:outlineLvl w:val="0"/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ind w:left="19"/>
        <w:jc w:val="center"/>
        <w:spacing w:before="130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rPr>
          <w:sz w:val="24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sz w:val="24"/>
        </w:rPr>
      </w:r>
      <w:r>
        <w:rPr>
          <w:sz w:val="24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ind w:firstLine="709"/>
        <w:jc w:val="center"/>
        <w:rPr>
          <w:b/>
        </w:rPr>
      </w:pPr>
      <w:r>
        <w:rPr>
          <w:b/>
        </w:rPr>
        <w:t xml:space="preserve">О распределении дотаций, предоставляемых в 2024</w:t>
      </w:r>
      <w:r>
        <w:rPr>
          <w:b/>
        </w:rPr>
        <w:t xml:space="preserve"> году из бюджета Забайкальского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районов (муниципальных округов, городских округов) </w:t>
      </w:r>
      <w:r>
        <w:rPr>
          <w:b/>
        </w:rPr>
        <w:t xml:space="preserve">Забайкальского края</w:t>
      </w:r>
      <w:r>
        <w:rPr>
          <w:b/>
        </w:rPr>
      </w:r>
      <w:r>
        <w:rPr>
          <w:b/>
        </w:rPr>
      </w:r>
    </w:p>
    <w:p>
      <w:pPr>
        <w:jc w:val="center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90"/>
        <w:ind w:firstLine="709"/>
        <w:jc w:val="both"/>
        <w:rPr>
          <w:rFonts w:ascii="Times New Roman" w:hAnsi="Times New Roman" w:cs="Times New Roman"/>
          <w:spacing w:val="4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138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статьей 11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Закона Забайкальского края от 20 декабря 2011 года № 608-ЗЗК «О межбюджетных отношениях в Забайкальском крае»,      пунктом 13 Правил предоставления бю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джетам муниципальных районов (муниципальных округов, городских округов) Забайкальского края дотаций на поддержку мер по обеспечению сбалансированности бюджетов муниципальных районов (муниципальных округов, городских округов) Забайкальского края из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Забайкальского края, утвержденных постановлением Правительства Забайкальского края от 3 июня 2020 года      № 187, в целях обеспечения сбалансированности бюджетов муниципальных образований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spacing w:val="44"/>
          <w:sz w:val="28"/>
          <w:szCs w:val="28"/>
        </w:rPr>
      </w:r>
      <w:r>
        <w:rPr>
          <w:rFonts w:ascii="Times New Roman" w:hAnsi="Times New Roman" w:cs="Times New Roman"/>
          <w:spacing w:val="44"/>
          <w:sz w:val="28"/>
          <w:szCs w:val="28"/>
        </w:rPr>
      </w:r>
    </w:p>
    <w:p>
      <w:pPr>
        <w:ind w:firstLine="708"/>
        <w:jc w:val="both"/>
      </w:pPr>
      <w:r>
        <w:tab/>
      </w:r>
      <w:r/>
    </w:p>
    <w:p>
      <w:pPr>
        <w:ind w:firstLine="709"/>
        <w:jc w:val="both"/>
      </w:pPr>
      <w:r>
        <w:t xml:space="preserve">Распределить дотации, предоставляемые в 2025 году из бюджета Забайкальского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</w:t>
      </w:r>
      <w:r>
        <w:t xml:space="preserve">нов (муниципальных округов, городских округов) Забайкальского края в сумме </w:t>
      </w:r>
      <w:r>
        <w:t xml:space="preserve">86</w:t>
      </w:r>
      <w:r>
        <w:t xml:space="preserve"> </w:t>
      </w:r>
      <w:r>
        <w:t xml:space="preserve">885</w:t>
      </w:r>
      <w:r>
        <w:t xml:space="preserve"> </w:t>
      </w:r>
      <w:r>
        <w:t xml:space="preserve">414</w:t>
      </w:r>
      <w:r>
        <w:t xml:space="preserve"> (</w:t>
      </w:r>
      <w:r>
        <w:t xml:space="preserve">восемьдесят шесть</w:t>
      </w:r>
      <w:r>
        <w:t xml:space="preserve"> миллионов </w:t>
      </w:r>
      <w:r>
        <w:t xml:space="preserve">восемьсот восемьдесят пять тысяч четыреста четырнадцать</w:t>
      </w:r>
      <w:r>
        <w:t xml:space="preserve">) </w:t>
      </w:r>
      <w:r>
        <w:rPr>
          <w:bCs/>
        </w:rPr>
        <w:t xml:space="preserve">рублей 07 копеек,</w:t>
      </w:r>
      <w:r>
        <w:t xml:space="preserve"> согласно приложению к настоящему постановлению.</w:t>
      </w:r>
      <w:r/>
    </w:p>
    <w:p>
      <w:pPr>
        <w:jc w:val="both"/>
      </w:pPr>
      <w:r/>
      <w:r/>
    </w:p>
    <w:p>
      <w:pPr>
        <w:jc w:val="both"/>
      </w:pPr>
      <w:r/>
      <w:r/>
    </w:p>
    <w:p>
      <w:r>
        <w:t xml:space="preserve">Первый заместитель </w:t>
      </w:r>
      <w:r/>
    </w:p>
    <w:p>
      <w:r>
        <w:t xml:space="preserve">председателя Правительства </w:t>
      </w:r>
      <w:r/>
    </w:p>
    <w:p>
      <w:r>
        <w:t xml:space="preserve">Забайкальского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А.И. </w:t>
      </w:r>
      <w:r>
        <w:t xml:space="preserve">Кефер</w:t>
      </w:r>
      <w:r>
        <w:t xml:space="preserve"> </w:t>
      </w:r>
      <w:r/>
    </w:p>
    <w:p>
      <w:pPr>
        <w:ind w:left="5245"/>
        <w:jc w:val="center"/>
        <w:spacing w:line="360" w:lineRule="auto"/>
        <w:rPr>
          <w:highlight w:val="yellow"/>
        </w:rPr>
        <w:outlineLvl w:val="0"/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left="5245"/>
        <w:jc w:val="center"/>
        <w:spacing w:line="360" w:lineRule="auto"/>
        <w:outlineLvl w:val="0"/>
      </w:pPr>
      <w:r>
        <w:t xml:space="preserve">ПРИЛОЖЕНИЕ</w:t>
      </w:r>
      <w:r/>
    </w:p>
    <w:p>
      <w:pPr>
        <w:ind w:left="5245"/>
        <w:jc w:val="center"/>
      </w:pPr>
      <w:r>
        <w:t xml:space="preserve">к постановлению Правительства</w:t>
      </w:r>
      <w:r/>
    </w:p>
    <w:p>
      <w:pPr>
        <w:ind w:left="5245"/>
        <w:jc w:val="center"/>
        <w:tabs>
          <w:tab w:val="left" w:pos="5670" w:leader="none"/>
        </w:tabs>
      </w:pPr>
      <w:r>
        <w:t xml:space="preserve">Забайкальского края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  <w:t xml:space="preserve">РАСПРЕДЕЛЕНИЕ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дотаций, предоставляемых в 2024 году из бюджета Забайкальского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районо</w:t>
      </w:r>
      <w:r>
        <w:rPr>
          <w:b/>
        </w:rPr>
        <w:t xml:space="preserve">в (муниципальных округов, городских округов) Забайкальского края</w:t>
      </w:r>
      <w:r>
        <w:rPr>
          <w:b/>
        </w:rPr>
      </w:r>
      <w:r>
        <w:rPr>
          <w:b/>
        </w:rPr>
      </w:r>
    </w:p>
    <w:p>
      <w:pPr>
        <w:jc w:val="center"/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  <w:r>
        <w:rPr>
          <w:b/>
          <w:highlight w:val="yellow"/>
        </w:rPr>
      </w:r>
    </w:p>
    <w:tbl>
      <w:tblPr>
        <w:tblW w:w="921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410"/>
      </w:tblGrid>
      <w:tr>
        <w:tblPrEx/>
        <w:trPr>
          <w:trHeight w:val="2403"/>
          <w:tblHeader/>
        </w:trPr>
        <w:tc>
          <w:tcPr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095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бюджетов муниципальных районов, муниципальных округов и городских округов Забайкальского края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Сумма,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 рублей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</w:tr>
    </w:tbl>
    <w:p>
      <w:pPr>
        <w:rPr>
          <w:sz w:val="2"/>
          <w:szCs w:val="2"/>
          <w:highlight w:val="yellow"/>
        </w:rPr>
      </w:pPr>
      <w:r>
        <w:rPr>
          <w:sz w:val="2"/>
          <w:szCs w:val="2"/>
          <w:highlight w:val="yellow"/>
        </w:rPr>
      </w:r>
      <w:r>
        <w:rPr>
          <w:sz w:val="2"/>
          <w:szCs w:val="2"/>
          <w:highlight w:val="yellow"/>
        </w:rPr>
      </w:r>
      <w:r>
        <w:rPr>
          <w:sz w:val="2"/>
          <w:szCs w:val="2"/>
          <w:highlight w:val="yellow"/>
        </w:rPr>
      </w:r>
    </w:p>
    <w:tbl>
      <w:tblPr>
        <w:tblW w:w="921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410"/>
      </w:tblGrid>
      <w:tr>
        <w:tblPrEx/>
        <w:trPr>
          <w:trHeight w:val="381"/>
          <w:tblHeader/>
        </w:trPr>
        <w:tc>
          <w:tcPr>
            <w:tcW w:w="70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6095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</w:tr>
      <w:tr>
        <w:tblPrEx/>
        <w:trPr>
          <w:trHeight w:val="617"/>
        </w:trPr>
        <w:tc>
          <w:tcPr>
            <w:tcW w:w="70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«Агинский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608 700,0</w:t>
            </w:r>
            <w:r/>
          </w:p>
        </w:tc>
      </w:tr>
      <w:tr>
        <w:tblPrEx/>
        <w:trPr>
          <w:trHeight w:val="617"/>
        </w:trPr>
        <w:tc>
          <w:tcPr>
            <w:tcW w:w="70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2.</w:t>
            </w:r>
            <w:r/>
          </w:p>
        </w:tc>
        <w:tc>
          <w:tcPr>
            <w:tcW w:w="6095" w:type="dxa"/>
            <w:textDirection w:val="lrTb"/>
            <w:noWrap/>
          </w:tcPr>
          <w:p>
            <w:pPr>
              <w:widowControl w:val="off"/>
            </w:pPr>
            <w:r>
              <w:rPr>
                <w:bCs/>
              </w:rPr>
              <w:t xml:space="preserve">Бюджет муниципального района «Балейский район», преобразованного в Балейский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t xml:space="preserve">192 200,0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6095" w:type="dxa"/>
            <w:textDirection w:val="lrTb"/>
            <w:noWrap/>
          </w:tcPr>
          <w:p>
            <w:pPr>
              <w:widowControl w:val="off"/>
              <w:rPr>
                <w:rFonts w:ascii="Arial" w:hAnsi="Arial" w:cs="Arial"/>
              </w:rPr>
            </w:pPr>
            <w:r>
              <w:t xml:space="preserve">Бюджет муниципального района «Борзинский </w:t>
            </w:r>
            <w:r>
              <w:t xml:space="preserve">район» Забайкальского края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t xml:space="preserve">1 281 400,0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«Дульдургинский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553 000,0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rPr>
                <w:bCs/>
              </w:rPr>
              <w:t xml:space="preserve">Бюджет муниципального района «Забайкальский район», преобразованного в Забайкальский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1 185 300,0</w:t>
            </w:r>
            <w:r/>
          </w:p>
        </w:tc>
      </w:tr>
      <w:tr>
        <w:tblPrEx/>
        <w:trPr>
          <w:trHeight w:val="589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«Карымский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3 082 300,0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rPr>
                <w:bCs/>
              </w:rPr>
              <w:t xml:space="preserve">Бюджет муницип</w:t>
            </w:r>
            <w:r>
              <w:rPr>
                <w:bCs/>
              </w:rPr>
              <w:t xml:space="preserve">ального района «Город Краснокаменск и Краснокаменский район», преобразованного в Краснокаменский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7 515 700,0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«Красночикойский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7 683 200,0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«Кыринский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320 300,0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«Могойтуйский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2 610 800,0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«Нерчинский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2 062 200,0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«Оловяннинский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1 727 500,0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</w:t>
            </w:r>
            <w:r>
              <w:t xml:space="preserve"> «Петровск-Забайкальский район», преобразованного в Петровск-Забайкальский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6 359 600,0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«Сретенский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768 800,0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15.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</w:t>
            </w:r>
            <w:r>
              <w:t xml:space="preserve">Тунгиро-О</w:t>
            </w:r>
            <w:r>
              <w:t xml:space="preserve">лёкминский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160 200,0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16.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</w:t>
            </w:r>
            <w:r>
              <w:t xml:space="preserve">Улётовский</w:t>
            </w:r>
            <w:r>
              <w:t xml:space="preserve"> район» Забайкальского края, преобразованного в </w:t>
            </w:r>
            <w:r>
              <w:t xml:space="preserve">Улётовский</w:t>
            </w:r>
            <w:r>
              <w:t xml:space="preserve">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2 152 600,0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17.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«Хилокский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1 937 100,0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18.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«Чернышевский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768 800,0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19.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«Читинский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1 986 000,0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20.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</w:t>
            </w:r>
            <w:r>
              <w:t xml:space="preserve">джет муниципального района «Шелопугинский район», </w:t>
            </w:r>
            <w:r>
              <w:rPr>
                <w:bCs/>
              </w:rPr>
              <w:t xml:space="preserve">преобразованного в Шелопугинский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192 200,0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21.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муниципального района «Шилкинский район»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448 500,0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22.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Акшинского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846 400,0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23.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Александрово</w:t>
            </w:r>
            <w:r>
              <w:t xml:space="preserve">-Заводского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640 700,0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24.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Газимуро</w:t>
            </w:r>
            <w:r>
              <w:t xml:space="preserve">-Заводского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288 300,0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25.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Каларского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96 100,0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26.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Калганского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576 600,0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27.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Могочинского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224 200,0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28.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Нерчинско</w:t>
            </w:r>
            <w:r>
              <w:t xml:space="preserve">-Заводского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416 500,0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29.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Ононского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3 820 200,0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30.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Приаргунского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990 500,0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31.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</w:t>
            </w:r>
            <w:r>
              <w:t xml:space="preserve">Тунгокоченского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256 300,0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32.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городского окру</w:t>
            </w:r>
            <w:r>
              <w:t xml:space="preserve">га «Поселок Агинское»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901 100,0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33.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городского округа «Город Петровск-Забайкальский» Забайкальского края, преобразованного в Петровск-Забайкальский муниципальный округ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4 429 000,0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34.</w:t>
            </w:r>
            <w:r/>
          </w:p>
        </w:tc>
        <w:tc>
          <w:tcPr>
            <w:tcW w:w="6095" w:type="dxa"/>
            <w:vMerge w:val="restart"/>
            <w:textDirection w:val="lrTb"/>
            <w:noWrap/>
          </w:tcPr>
          <w:p>
            <w:r>
              <w:t xml:space="preserve">Бюджет городского округа «Город Чита»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28 722 814,07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35.</w:t>
            </w:r>
            <w:r/>
          </w:p>
        </w:tc>
        <w:tc>
          <w:tcPr>
            <w:tcW w:w="6095" w:type="dxa"/>
            <w:textDirection w:val="lrTb"/>
            <w:noWrap/>
          </w:tcPr>
          <w:p>
            <w:r>
              <w:t xml:space="preserve">Бюджет городского округа закрытое административно-территориальное образование п. Горный Забайкальского края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1 080 300,0</w:t>
            </w:r>
            <w:r/>
          </w:p>
        </w:tc>
      </w:tr>
      <w:tr>
        <w:tblPrEx/>
        <w:trPr>
          <w:trHeight w:val="552"/>
        </w:trPr>
        <w:tc>
          <w:tcPr>
            <w:tcW w:w="709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6095" w:type="dxa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86 885 414,07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>
        <w:t xml:space="preserve">_______________________</w:t>
      </w:r>
      <w:bookmarkStart w:id="0" w:name="_GoBack"/>
      <w:r/>
      <w:bookmarkEnd w:id="0"/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567" w:left="1985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36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</w:pPr>
    <w:r/>
    <w:r/>
  </w:p>
  <w:p>
    <w:pPr>
      <w:pStyle w:val="7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90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1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2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3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4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5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7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8">
    <w:name w:val="Title Char"/>
    <w:basedOn w:val="714"/>
    <w:link w:val="728"/>
    <w:uiPriority w:val="10"/>
    <w:rPr>
      <w:sz w:val="48"/>
      <w:szCs w:val="48"/>
    </w:rPr>
  </w:style>
  <w:style w:type="character" w:styleId="699">
    <w:name w:val="Subtitle Char"/>
    <w:basedOn w:val="714"/>
    <w:link w:val="730"/>
    <w:uiPriority w:val="11"/>
    <w:rPr>
      <w:sz w:val="24"/>
      <w:szCs w:val="24"/>
    </w:rPr>
  </w:style>
  <w:style w:type="character" w:styleId="700">
    <w:name w:val="Quote Char"/>
    <w:link w:val="732"/>
    <w:uiPriority w:val="29"/>
    <w:rPr>
      <w:i/>
    </w:rPr>
  </w:style>
  <w:style w:type="character" w:styleId="701">
    <w:name w:val="Intense Quote Char"/>
    <w:link w:val="734"/>
    <w:uiPriority w:val="30"/>
    <w:rPr>
      <w:i/>
    </w:rPr>
  </w:style>
  <w:style w:type="character" w:styleId="702">
    <w:name w:val="Footnote Text Char"/>
    <w:link w:val="869"/>
    <w:uiPriority w:val="99"/>
    <w:rPr>
      <w:sz w:val="18"/>
    </w:rPr>
  </w:style>
  <w:style w:type="character" w:styleId="703">
    <w:name w:val="Endnote Text Char"/>
    <w:link w:val="872"/>
    <w:uiPriority w:val="99"/>
    <w:rPr>
      <w:sz w:val="20"/>
    </w:rPr>
  </w:style>
  <w:style w:type="paragraph" w:styleId="704" w:default="1">
    <w:name w:val="Normal"/>
    <w:qFormat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704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704"/>
    <w:next w:val="704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Заголовок Знак"/>
    <w:link w:val="728"/>
    <w:uiPriority w:val="10"/>
    <w:rPr>
      <w:sz w:val="48"/>
      <w:szCs w:val="48"/>
    </w:rPr>
  </w:style>
  <w:style w:type="paragraph" w:styleId="730">
    <w:name w:val="Subtitle"/>
    <w:basedOn w:val="704"/>
    <w:next w:val="704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704"/>
    <w:next w:val="704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704"/>
    <w:next w:val="704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704"/>
    <w:link w:val="88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37" w:customStyle="1">
    <w:name w:val="Header Char"/>
    <w:uiPriority w:val="99"/>
  </w:style>
  <w:style w:type="paragraph" w:styleId="738">
    <w:name w:val="Footer"/>
    <w:basedOn w:val="704"/>
    <w:link w:val="88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39" w:customStyle="1">
    <w:name w:val="Footer Char"/>
    <w:uiPriority w:val="99"/>
  </w:style>
  <w:style w:type="paragraph" w:styleId="740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 w:customStyle="1">
    <w:name w:val="Caption Char"/>
    <w:uiPriority w:val="99"/>
  </w:style>
  <w:style w:type="table" w:styleId="742">
    <w:name w:val="Table Grid"/>
    <w:basedOn w:val="715"/>
    <w:uiPriority w:val="59"/>
    <w:rPr>
      <w:rFonts w:ascii="Times New Roman" w:hAnsi="Times New Roman" w:cs="Times New Roman"/>
    </w:rPr>
    <w:tblPr/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704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704"/>
    <w:link w:val="873"/>
    <w:uiPriority w:val="99"/>
    <w:semiHidden/>
    <w:unhideWhenUsed/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704"/>
    <w:next w:val="704"/>
    <w:uiPriority w:val="39"/>
    <w:unhideWhenUsed/>
    <w:pPr>
      <w:spacing w:after="57"/>
    </w:pPr>
  </w:style>
  <w:style w:type="paragraph" w:styleId="876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7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8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9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80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81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82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3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4"/>
    <w:next w:val="704"/>
    <w:uiPriority w:val="99"/>
    <w:unhideWhenUsed/>
  </w:style>
  <w:style w:type="paragraph" w:styleId="886">
    <w:name w:val="Balloon Text"/>
    <w:basedOn w:val="704"/>
    <w:link w:val="887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87" w:customStyle="1">
    <w:name w:val="Текст выноски Знак"/>
    <w:link w:val="886"/>
    <w:uiPriority w:val="99"/>
    <w:semiHidden/>
    <w:rPr>
      <w:rFonts w:ascii="Tahoma" w:hAnsi="Tahoma" w:cs="Tahoma"/>
      <w:color w:val="000000"/>
      <w:sz w:val="16"/>
      <w:szCs w:val="16"/>
      <w:lang w:val="en-US" w:eastAsia="ru-RU"/>
    </w:rPr>
  </w:style>
  <w:style w:type="character" w:styleId="888" w:customStyle="1">
    <w:name w:val="Верхний колонтитул Знак"/>
    <w:link w:val="736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character" w:styleId="889" w:customStyle="1">
    <w:name w:val="Нижний колонтитул Знак"/>
    <w:link w:val="738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paragraph" w:styleId="890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891">
    <w:name w:val="Document Map"/>
    <w:basedOn w:val="704"/>
    <w:link w:val="892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92" w:customStyle="1">
    <w:name w:val="Схема документа Знак"/>
    <w:link w:val="891"/>
    <w:uiPriority w:val="99"/>
    <w:semiHidden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KOMPOFIN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62</cp:revision>
  <dcterms:created xsi:type="dcterms:W3CDTF">2022-08-10T00:12:00Z</dcterms:created>
  <dcterms:modified xsi:type="dcterms:W3CDTF">2024-12-24T00:53:28Z</dcterms:modified>
  <cp:version>1048576</cp:version>
</cp:coreProperties>
</file>