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58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50"/>
        <w:gridCol w:w="3102"/>
        <w:gridCol w:w="3606"/>
      </w:tblGrid>
      <w:tr>
        <w:tblPrEx/>
        <w:trPr>
          <w:trHeight w:val="15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0" w:type="dxa"/>
            <w:textDirection w:val="lrTb"/>
            <w:noWrap w:val="false"/>
          </w:tcPr>
          <w:p>
            <w:pPr>
              <w:ind w:left="48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2" w:type="dxa"/>
            <w:textDirection w:val="lrTb"/>
            <w:noWrap w:val="false"/>
          </w:tcPr>
          <w:p>
            <w:pPr>
              <w:jc w:val="center"/>
              <w:tabs>
                <w:tab w:val="left" w:pos="1139" w:leader="none"/>
              </w:tabs>
              <w:rPr>
                <w:sz w:val="2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2499" cy="86795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2499" cy="867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2.40pt;height:68.34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6" w:type="dxa"/>
            <w:textDirection w:val="lrTb"/>
            <w:noWrap w:val="false"/>
          </w:tcPr>
          <w:p>
            <w:pPr>
              <w:jc w:val="right"/>
              <w:tabs>
                <w:tab w:val="left" w:pos="1139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shd w:val="clear" w:color="auto" w:fill="ffffff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sz w:val="24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sz w:val="24"/>
        </w:rPr>
      </w:r>
      <w:r>
        <w:rPr>
          <w:sz w:val="24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распределении дотаций, предоставляемых в 2024</w:t>
      </w:r>
      <w:r>
        <w:rPr>
          <w:b/>
        </w:rPr>
        <w:t xml:space="preserve">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(муниципальных округов, городских округов) </w:t>
      </w:r>
      <w:r>
        <w:rPr>
          <w:b/>
        </w:rPr>
        <w:t xml:space="preserve">Забайкальского края</w:t>
      </w:r>
      <w:r>
        <w:rPr>
          <w:b/>
        </w:rPr>
      </w:r>
      <w:r>
        <w:rPr>
          <w:b/>
        </w:rPr>
      </w:r>
    </w:p>
    <w:p>
      <w:pPr>
        <w:jc w:val="center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91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138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статьей 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Забайкальского края от 20 декабря 2011 года № 608-ЗЗК «О межбюджетных отношениях в Забайкальском крае»,      пунктом 13 Правил предоставления бю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джетам муниципальных районов (муниципальных округов, городских округов) Забайкальского края дотаций на поддержку мер по обеспечению сбалансированности бюджетов муниципальных районов (муниципальных округов, городских округов) Забайкальского края из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Забайкальского края, утвержденных постановлением Правительства Забайкальского края от 3 июня 2020 года      № 187, в целях обеспечения сбалансированности бюджетов муниципальных образований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44"/>
          <w:sz w:val="28"/>
          <w:szCs w:val="28"/>
        </w:rPr>
      </w:r>
      <w:r>
        <w:rPr>
          <w:rFonts w:ascii="Times New Roman" w:hAnsi="Times New Roman" w:cs="Times New Roman"/>
          <w:spacing w:val="44"/>
          <w:sz w:val="28"/>
          <w:szCs w:val="28"/>
        </w:rPr>
      </w:r>
    </w:p>
    <w:p>
      <w:pPr>
        <w:ind w:firstLine="708"/>
        <w:jc w:val="both"/>
      </w:pPr>
      <w:r>
        <w:tab/>
      </w:r>
      <w:r/>
    </w:p>
    <w:p>
      <w:pPr>
        <w:ind w:firstLine="709"/>
        <w:jc w:val="both"/>
      </w:pPr>
      <w:r>
        <w:t xml:space="preserve">Распределить дотации, предоставляемые в 2024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</w:t>
      </w:r>
      <w:r>
        <w:t xml:space="preserve">нов (муниципальных округов, городских округов) Забайкальского края в сумме </w:t>
      </w:r>
      <w:r>
        <w:t xml:space="preserve">70</w:t>
      </w:r>
      <w:r>
        <w:t xml:space="preserve"> </w:t>
      </w:r>
      <w:r>
        <w:t xml:space="preserve">132</w:t>
      </w:r>
      <w:r>
        <w:t xml:space="preserve"> </w:t>
      </w:r>
      <w:r>
        <w:t xml:space="preserve">300</w:t>
      </w:r>
      <w:r>
        <w:t xml:space="preserve"> (</w:t>
      </w:r>
      <w:r>
        <w:t xml:space="preserve">семьдесят</w:t>
      </w:r>
      <w:r>
        <w:t xml:space="preserve"> миллионов сто тридцать две тысячи триста</w:t>
      </w:r>
      <w:r>
        <w:t xml:space="preserve">) </w:t>
      </w:r>
      <w:r>
        <w:rPr>
          <w:bCs/>
        </w:rPr>
        <w:t xml:space="preserve">рублей,</w:t>
      </w:r>
      <w:r>
        <w:t xml:space="preserve"> согласно приложению к настоящему постановлению.</w:t>
      </w:r>
      <w:r/>
    </w:p>
    <w:p>
      <w:pPr>
        <w:jc w:val="both"/>
      </w:pPr>
      <w:r/>
      <w:r/>
    </w:p>
    <w:p>
      <w:pPr>
        <w:jc w:val="both"/>
      </w:pPr>
      <w:r/>
      <w:r/>
    </w:p>
    <w:p>
      <w:r>
        <w:t xml:space="preserve">Первый заместитель </w:t>
      </w:r>
      <w:r/>
    </w:p>
    <w:p>
      <w:r>
        <w:t xml:space="preserve">председателя Правительства </w:t>
      </w:r>
      <w:r/>
    </w:p>
    <w:p>
      <w:r>
        <w:t xml:space="preserve">Забайкальского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А.И. </w:t>
      </w:r>
      <w:r>
        <w:t xml:space="preserve">Кефер</w:t>
      </w:r>
      <w:r>
        <w:t xml:space="preserve"> </w:t>
      </w:r>
      <w:r/>
    </w:p>
    <w:p>
      <w:pPr>
        <w:ind w:left="5245"/>
        <w:jc w:val="center"/>
        <w:spacing w:line="360" w:lineRule="auto"/>
        <w:rPr>
          <w:highlight w:val="yellow"/>
        </w:rPr>
        <w:outlineLvl w:val="0"/>
      </w:pPr>
      <w:r>
        <w:rPr>
          <w:highlight w:val="yellow"/>
        </w:rPr>
      </w:r>
      <w:r>
        <w:rPr>
          <w:highlight w:val="yellow"/>
        </w:rPr>
      </w:r>
    </w:p>
    <w:p>
      <w:pPr>
        <w:ind w:left="5245"/>
        <w:jc w:val="center"/>
        <w:spacing w:line="360" w:lineRule="auto"/>
        <w:rPr>
          <w:highlight w:val="yellow"/>
        </w:rPr>
        <w:outlineLvl w:val="0"/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left="5245"/>
        <w:jc w:val="center"/>
        <w:spacing w:line="360" w:lineRule="auto"/>
        <w:outlineLvl w:val="0"/>
      </w:pPr>
      <w:r>
        <w:t xml:space="preserve">ПРИЛОЖЕНИЕ</w:t>
      </w:r>
      <w:r/>
    </w:p>
    <w:p>
      <w:pPr>
        <w:ind w:left="5245"/>
        <w:jc w:val="center"/>
      </w:pPr>
      <w:r>
        <w:t xml:space="preserve">к постановлению Правительства</w:t>
      </w:r>
      <w:r/>
    </w:p>
    <w:p>
      <w:pPr>
        <w:ind w:left="5245"/>
        <w:jc w:val="center"/>
        <w:tabs>
          <w:tab w:val="left" w:pos="5670" w:leader="none"/>
        </w:tabs>
      </w:pPr>
      <w:r>
        <w:t xml:space="preserve">Забайкальского края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РАСПРЕДЕЛЕНИЕ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дотаций, предоставляемых в 2024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</w:t>
      </w:r>
      <w:r>
        <w:rPr>
          <w:b/>
        </w:rPr>
        <w:t xml:space="preserve">в (муниципальных округов, городских округов) Забайкальского края</w:t>
      </w:r>
      <w:r>
        <w:rPr>
          <w:b/>
        </w:rPr>
      </w:r>
      <w:r>
        <w:rPr>
          <w:b/>
        </w:rPr>
      </w:r>
    </w:p>
    <w:p>
      <w:pPr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/>
        <w:trPr>
          <w:trHeight w:val="2403"/>
          <w:tblHeader/>
        </w:trPr>
        <w:tc>
          <w:tcP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095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бюджетов муниципальных районов, муниципальных округов и городских округов Забайкальского края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рублей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</w:tr>
    </w:tbl>
    <w:p>
      <w:pPr>
        <w:rPr>
          <w:sz w:val="2"/>
          <w:szCs w:val="2"/>
          <w:highlight w:val="yellow"/>
        </w:rPr>
      </w:pP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/>
        <w:trPr>
          <w:trHeight w:val="381"/>
          <w:tblHeader/>
        </w:trPr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6095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</w:tr>
      <w:tr>
        <w:tblPrEx/>
        <w:trPr>
          <w:trHeight w:val="617"/>
        </w:trPr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«Агинский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974 100,0</w:t>
            </w:r>
            <w:r/>
          </w:p>
        </w:tc>
      </w:tr>
      <w:tr>
        <w:tblPrEx/>
        <w:trPr>
          <w:trHeight w:val="617"/>
        </w:trPr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tcW w:w="6095" w:type="dxa"/>
            <w:textDirection w:val="lrTb"/>
            <w:noWrap/>
          </w:tcPr>
          <w:p>
            <w:pPr>
              <w:widowControl w:val="off"/>
            </w:pPr>
            <w:r>
              <w:rPr>
                <w:bCs/>
              </w:rPr>
              <w:t xml:space="preserve">Бюджет муниципального района «Балейский район», преобразованного в Балейский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t xml:space="preserve">2 251 300,0</w:t>
            </w:r>
            <w:r>
              <w:rPr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6095" w:type="dxa"/>
            <w:textDirection w:val="lrTb"/>
            <w:noWrap/>
          </w:tcPr>
          <w:p>
            <w:pPr>
              <w:widowControl w:val="off"/>
              <w:rPr>
                <w:rFonts w:ascii="Arial" w:hAnsi="Arial" w:cs="Arial"/>
              </w:rPr>
            </w:pPr>
            <w:r>
              <w:t xml:space="preserve">Бюджет муниципального района «Борзинский </w:t>
            </w:r>
            <w:r>
              <w:t xml:space="preserve">район» Забайкальского края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7 471 100,0</w:t>
            </w:r>
            <w:r>
              <w:rPr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«Дульдургинский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2 290 700,0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rPr>
                <w:bCs/>
              </w:rPr>
              <w:t xml:space="preserve">Бюджет муниципального района «Забайкальский район», преобразованного в Забайкальский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321 200,0</w:t>
            </w:r>
            <w:r/>
          </w:p>
        </w:tc>
      </w:tr>
      <w:tr>
        <w:tblPrEx/>
        <w:trPr>
          <w:trHeight w:val="589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«Карымский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5 753 700,0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rPr>
                <w:bCs/>
              </w:rPr>
              <w:t xml:space="preserve">Бюджет муницип</w:t>
            </w:r>
            <w:r>
              <w:rPr>
                <w:bCs/>
              </w:rPr>
              <w:t xml:space="preserve">ального района «Город Краснокаменск и Краснокаменский район», преобразованного в Краснокаменский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9 585 600,0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«Красночикойский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2 718 000,0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«Кыринский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1 709 600,0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«Могойтуйский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2 007 300,0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«Нерчинский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838 000,0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«Оловяннинский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1 303 500,0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</w:t>
            </w:r>
            <w:r>
              <w:t xml:space="preserve"> «Петровск-Забайкальский район», преобразованного в Петровск-Забайкальский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2 504 700,0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«Сретенский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1 998 100,0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15.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Улётовский</w:t>
            </w:r>
            <w:r>
              <w:t xml:space="preserve"> район» Забайкальского края, преобразованного в </w:t>
            </w:r>
            <w:r>
              <w:t xml:space="preserve">Улётовский</w:t>
            </w:r>
            <w:r>
              <w:t xml:space="preserve">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529 100,0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16.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«Хилокский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3 746 500,0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17.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«Чернышевский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4 984 400,0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18.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«Читинский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3 972 900,0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19.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</w:t>
            </w:r>
            <w:r>
              <w:t xml:space="preserve">джет муниципального района «Шелопугинский район», </w:t>
            </w:r>
            <w:r>
              <w:rPr>
                <w:bCs/>
              </w:rPr>
              <w:t xml:space="preserve">преобразованного в Шелопугинский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80 400,0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20.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«Шилкинский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4 018 600,0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Акшинского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1 449 800,0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22.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Калганского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943 100,0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23.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Нерчинско</w:t>
            </w:r>
            <w:r>
              <w:t xml:space="preserve">-Заводского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46 600,0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24.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Ононского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150 100,0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25.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Приаргунского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2 591 700,0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26.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Тунгокоченского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522 100,0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27.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городского окру</w:t>
            </w:r>
            <w:r>
              <w:t xml:space="preserve">га «Поселок Агинское»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2 875 100,0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28.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городского округа «Город Петровск-Забайкальский» Забайкальского края, преобразованного в Петровск-Забайкальский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2 495 000,0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6095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70 132 300,0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>
        <w:t xml:space="preserve">_______________________</w:t>
      </w:r>
      <w:bookmarkStart w:id="0" w:name="_GoBack"/>
      <w:r/>
      <w:bookmarkEnd w:id="0"/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567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37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/>
    <w:r/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15"/>
    <w:link w:val="729"/>
    <w:uiPriority w:val="10"/>
    <w:rPr>
      <w:sz w:val="48"/>
      <w:szCs w:val="48"/>
    </w:rPr>
  </w:style>
  <w:style w:type="character" w:styleId="700">
    <w:name w:val="Subtitle Char"/>
    <w:basedOn w:val="715"/>
    <w:link w:val="731"/>
    <w:uiPriority w:val="11"/>
    <w:rPr>
      <w:sz w:val="24"/>
      <w:szCs w:val="24"/>
    </w:rPr>
  </w:style>
  <w:style w:type="character" w:styleId="701">
    <w:name w:val="Quote Char"/>
    <w:link w:val="733"/>
    <w:uiPriority w:val="29"/>
    <w:rPr>
      <w:i/>
    </w:rPr>
  </w:style>
  <w:style w:type="character" w:styleId="702">
    <w:name w:val="Intense Quote Char"/>
    <w:link w:val="735"/>
    <w:uiPriority w:val="30"/>
    <w:rPr>
      <w:i/>
    </w:rPr>
  </w:style>
  <w:style w:type="character" w:styleId="703">
    <w:name w:val="Footnote Text Char"/>
    <w:link w:val="870"/>
    <w:uiPriority w:val="99"/>
    <w:rPr>
      <w:sz w:val="18"/>
    </w:rPr>
  </w:style>
  <w:style w:type="character" w:styleId="704">
    <w:name w:val="Endnote Text Char"/>
    <w:link w:val="873"/>
    <w:uiPriority w:val="99"/>
    <w:rPr>
      <w:sz w:val="20"/>
    </w:rPr>
  </w:style>
  <w:style w:type="paragraph" w:styleId="705" w:default="1">
    <w:name w:val="Normal"/>
    <w:qFormat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706">
    <w:name w:val="Heading 1"/>
    <w:basedOn w:val="705"/>
    <w:next w:val="705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705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705"/>
    <w:next w:val="70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link w:val="729"/>
    <w:uiPriority w:val="10"/>
    <w:rPr>
      <w:sz w:val="48"/>
      <w:szCs w:val="48"/>
    </w:rPr>
  </w:style>
  <w:style w:type="paragraph" w:styleId="731">
    <w:name w:val="Subtitle"/>
    <w:basedOn w:val="705"/>
    <w:next w:val="70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705"/>
    <w:next w:val="70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5"/>
    <w:next w:val="70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705"/>
    <w:link w:val="88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8" w:customStyle="1">
    <w:name w:val="Header Char"/>
    <w:uiPriority w:val="99"/>
  </w:style>
  <w:style w:type="paragraph" w:styleId="739">
    <w:name w:val="Footer"/>
    <w:basedOn w:val="705"/>
    <w:link w:val="89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0" w:customStyle="1">
    <w:name w:val="Footer Char"/>
    <w:uiPriority w:val="99"/>
  </w:style>
  <w:style w:type="paragraph" w:styleId="741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>
    <w:name w:val="Table Grid"/>
    <w:basedOn w:val="716"/>
    <w:uiPriority w:val="59"/>
    <w:rPr>
      <w:rFonts w:ascii="Times New Roman" w:hAnsi="Times New Roman" w:cs="Times New Roman"/>
    </w:rPr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705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705"/>
    <w:link w:val="874"/>
    <w:uiPriority w:val="99"/>
    <w:semiHidden/>
    <w:unhideWhenUsed/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705"/>
    <w:next w:val="705"/>
    <w:uiPriority w:val="39"/>
    <w:unhideWhenUsed/>
    <w:pPr>
      <w:spacing w:after="57"/>
    </w:pPr>
  </w:style>
  <w:style w:type="paragraph" w:styleId="877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8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9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0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1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2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3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84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5"/>
    <w:next w:val="705"/>
    <w:uiPriority w:val="99"/>
    <w:unhideWhenUsed/>
  </w:style>
  <w:style w:type="paragraph" w:styleId="887">
    <w:name w:val="Balloon Text"/>
    <w:basedOn w:val="705"/>
    <w:link w:val="88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8" w:customStyle="1">
    <w:name w:val="Текст выноски Знак"/>
    <w:link w:val="887"/>
    <w:uiPriority w:val="99"/>
    <w:semiHidden/>
    <w:rPr>
      <w:rFonts w:ascii="Tahoma" w:hAnsi="Tahoma" w:cs="Tahoma"/>
      <w:color w:val="000000"/>
      <w:sz w:val="16"/>
      <w:szCs w:val="16"/>
      <w:lang w:val="en-US" w:eastAsia="ru-RU"/>
    </w:rPr>
  </w:style>
  <w:style w:type="character" w:styleId="889" w:customStyle="1">
    <w:name w:val="Верхний колонтитул Знак"/>
    <w:link w:val="737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character" w:styleId="890" w:customStyle="1">
    <w:name w:val="Нижний колонтитул Знак"/>
    <w:link w:val="739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styleId="891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92">
    <w:name w:val="Document Map"/>
    <w:basedOn w:val="705"/>
    <w:link w:val="893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93" w:customStyle="1">
    <w:name w:val="Схема документа Знак"/>
    <w:link w:val="892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KOMPOFIN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64</cp:revision>
  <dcterms:created xsi:type="dcterms:W3CDTF">2022-08-10T00:12:00Z</dcterms:created>
  <dcterms:modified xsi:type="dcterms:W3CDTF">2024-12-26T00:27:37Z</dcterms:modified>
  <cp:version>1048576</cp:version>
</cp:coreProperties>
</file>