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58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50"/>
        <w:gridCol w:w="3102"/>
        <w:gridCol w:w="3606"/>
      </w:tblGrid>
      <w:tr>
        <w:tblPrEx/>
        <w:trPr>
          <w:trHeight w:val="152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0" w:type="dxa"/>
            <w:textDirection w:val="lrTb"/>
            <w:noWrap w:val="false"/>
          </w:tcPr>
          <w:p>
            <w:pPr>
              <w:ind w:left="489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</w:r>
            <w:r>
              <w:rPr>
                <w:sz w:val="32"/>
                <w:szCs w:val="32"/>
                <w:lang w:val="en-US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02" w:type="dxa"/>
            <w:textDirection w:val="lrTb"/>
            <w:noWrap w:val="false"/>
          </w:tcPr>
          <w:p>
            <w:pPr>
              <w:jc w:val="center"/>
              <w:tabs>
                <w:tab w:val="left" w:pos="1139" w:leader="none"/>
              </w:tabs>
              <w:rPr>
                <w:sz w:val="24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92499" cy="867956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92499" cy="8679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2.40pt;height:68.34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4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06" w:type="dxa"/>
            <w:textDirection w:val="lrTb"/>
            <w:noWrap w:val="false"/>
          </w:tcPr>
          <w:p>
            <w:pPr>
              <w:jc w:val="right"/>
              <w:tabs>
                <w:tab w:val="left" w:pos="1139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center" w:pos="4678" w:leader="none"/>
                <w:tab w:val="left" w:pos="4956" w:leader="none"/>
                <w:tab w:val="left" w:pos="5664" w:leader="none"/>
                <w:tab w:val="right" w:pos="9357" w:leader="none"/>
              </w:tabs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shd w:val="clear" w:color="auto" w:fill="ffffff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33"/>
          <w:szCs w:val="33"/>
        </w:rPr>
      </w:r>
    </w:p>
    <w:p>
      <w:pPr>
        <w:ind w:left="19"/>
        <w:jc w:val="center"/>
        <w:spacing w:before="130"/>
        <w:shd w:val="clear" w:color="auto" w:fill="ffffff"/>
        <w:rPr>
          <w:bCs/>
          <w:spacing w:val="-14"/>
          <w:sz w:val="6"/>
          <w:szCs w:val="6"/>
        </w:rPr>
        <w:outlineLvl w:val="0"/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  <w:sz w:val="6"/>
          <w:szCs w:val="6"/>
        </w:rPr>
      </w:r>
    </w:p>
    <w:p>
      <w:pPr>
        <w:ind w:left="19"/>
        <w:jc w:val="center"/>
        <w:spacing w:before="130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jc w:val="center"/>
        <w:rPr>
          <w:sz w:val="24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sz w:val="24"/>
        </w:rPr>
      </w:r>
    </w:p>
    <w:p>
      <w:pPr>
        <w:jc w:val="center"/>
      </w:pPr>
      <w:r/>
      <w:r/>
    </w:p>
    <w:p>
      <w:pPr>
        <w:jc w:val="center"/>
      </w:pPr>
      <w:r/>
      <w:r/>
    </w:p>
    <w:p>
      <w:pPr>
        <w:ind w:firstLine="709"/>
        <w:jc w:val="center"/>
        <w:rPr>
          <w:b/>
        </w:rPr>
      </w:pPr>
      <w:r>
        <w:rPr>
          <w:b/>
        </w:rPr>
        <w:t xml:space="preserve">О распределении дотаций, предоставляемых в 202</w:t>
      </w:r>
      <w:r>
        <w:rPr>
          <w:b/>
        </w:rPr>
        <w:t xml:space="preserve">5</w:t>
      </w:r>
      <w:r>
        <w:rPr>
          <w:b/>
        </w:rPr>
        <w:t xml:space="preserve"> году из бюджета Забайкальского края бюджетам муниципальных районов (муниципальных округов, городских округов) Забайкальского края на поддержку мер по обеспечению сбалансированности бюджетов муниципальных районов (муниципальных округов, городских округов) </w:t>
      </w:r>
      <w:r>
        <w:rPr>
          <w:b/>
        </w:rPr>
        <w:t xml:space="preserve">Забайкальского края</w:t>
      </w:r>
      <w:r>
        <w:rPr>
          <w:b/>
        </w:rPr>
      </w:r>
    </w:p>
    <w:p>
      <w:pPr>
        <w:jc w:val="center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888"/>
        <w:ind w:firstLine="709"/>
        <w:jc w:val="both"/>
        <w:rPr>
          <w:rFonts w:ascii="Times New Roman" w:hAnsi="Times New Roman" w:cs="Times New Roman"/>
          <w:spacing w:val="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138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статьей 11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Закона Забайкальского края от 20 декабря 2011 года № 608-ЗЗК «О межбюджетных отношениях в Забайкальском крае»,      пунктом 13 Правил предоставления бю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джетам муниципальных районов (муниципальных округов, городских округов) Забайкальского края дотаций на поддержку мер по обеспечению сбалансированности бюджетов муниципальных районов (муниципальных округов, городских округов) Забайкальского края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края, утвержденных постановлением Правительства Забайкальского края от 3 июня 2020 года      № 187, в целях обеспечения сбалансированности бюджетов муниципальных образований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:</w:t>
      </w:r>
      <w:r>
        <w:rPr>
          <w:rFonts w:ascii="Times New Roman" w:hAnsi="Times New Roman" w:cs="Times New Roman"/>
          <w:spacing w:val="44"/>
          <w:sz w:val="28"/>
          <w:szCs w:val="28"/>
        </w:rPr>
      </w:r>
    </w:p>
    <w:p>
      <w:pPr>
        <w:ind w:firstLine="708"/>
        <w:jc w:val="both"/>
      </w:pPr>
      <w:r>
        <w:tab/>
      </w:r>
      <w:r/>
    </w:p>
    <w:p>
      <w:pPr>
        <w:ind w:firstLine="709"/>
        <w:jc w:val="both"/>
      </w:pPr>
      <w:r>
        <w:t xml:space="preserve">Распределить дотации, предоставляемые в 202</w:t>
      </w:r>
      <w:r>
        <w:t xml:space="preserve">5</w:t>
      </w:r>
      <w:r>
        <w:t xml:space="preserve"> году из бюджета Забайкальского края бюджетам муниципальных районов (муниципальных округов, городских округов) Забайкальского края на поддержку мер по обеспечению сбалансированности бюджетов муниципальных райо</w:t>
      </w:r>
      <w:r>
        <w:t xml:space="preserve">нов (муниципальных округов, городских округов) Забайкальского края в сумме </w:t>
      </w:r>
      <w:r>
        <w:t xml:space="preserve">29 705 500</w:t>
      </w:r>
      <w:r>
        <w:t xml:space="preserve"> (</w:t>
      </w:r>
      <w:r>
        <w:t xml:space="preserve">двадцать девять</w:t>
      </w:r>
      <w:r>
        <w:t xml:space="preserve"> миллионов </w:t>
      </w:r>
      <w:r>
        <w:t xml:space="preserve">семьсот пять </w:t>
      </w:r>
      <w:r>
        <w:t xml:space="preserve">тысяч</w:t>
      </w:r>
      <w:r>
        <w:t xml:space="preserve"> </w:t>
      </w:r>
      <w:r>
        <w:t xml:space="preserve">пятьсот</w:t>
      </w:r>
      <w:r>
        <w:t xml:space="preserve">) </w:t>
      </w:r>
      <w:r>
        <w:rPr>
          <w:bCs/>
        </w:rPr>
        <w:t xml:space="preserve">рублей,</w:t>
      </w:r>
      <w:r>
        <w:t xml:space="preserve"> согласно приложению к настоящему постановлению.</w:t>
      </w:r>
      <w:r/>
    </w:p>
    <w:p>
      <w:pPr>
        <w:jc w:val="both"/>
      </w:pPr>
      <w:r/>
      <w:r/>
    </w:p>
    <w:p>
      <w:pPr>
        <w:jc w:val="both"/>
      </w:pPr>
      <w:r/>
      <w:r/>
    </w:p>
    <w:p>
      <w:r>
        <w:t xml:space="preserve">Первый заместитель </w:t>
      </w:r>
      <w:r/>
    </w:p>
    <w:p>
      <w:r>
        <w:t xml:space="preserve">председателя Правительства </w:t>
      </w:r>
      <w:r/>
    </w:p>
    <w:p>
      <w:r>
        <w:t xml:space="preserve">Забайкальского края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А.И. Кефер </w:t>
      </w:r>
      <w:r/>
    </w:p>
    <w:p>
      <w:pPr>
        <w:ind w:left="5245"/>
        <w:jc w:val="center"/>
        <w:spacing w:line="360" w:lineRule="auto"/>
        <w:rPr>
          <w:highlight w:val="yellow"/>
        </w:rPr>
        <w:outlineLvl w:val="0"/>
      </w:pPr>
      <w:r>
        <w:rPr>
          <w:highlight w:val="yellow"/>
        </w:rPr>
      </w:r>
      <w:r>
        <w:rPr>
          <w:highlight w:val="yellow"/>
        </w:rPr>
      </w:r>
    </w:p>
    <w:p>
      <w:pPr>
        <w:ind w:left="5245"/>
        <w:jc w:val="center"/>
        <w:spacing w:line="360" w:lineRule="auto"/>
        <w:rPr>
          <w:highlight w:val="yellow"/>
        </w:rPr>
        <w:outlineLvl w:val="0"/>
      </w:pPr>
      <w:r>
        <w:rPr>
          <w:highlight w:val="yellow"/>
        </w:rPr>
      </w:r>
      <w:r>
        <w:rPr>
          <w:highlight w:val="yellow"/>
        </w:rPr>
      </w:r>
    </w:p>
    <w:p>
      <w:pPr>
        <w:ind w:left="5245"/>
        <w:jc w:val="center"/>
        <w:spacing w:line="360" w:lineRule="auto"/>
        <w:outlineLvl w:val="0"/>
      </w:pPr>
      <w:r>
        <w:t xml:space="preserve">ПРИЛОЖЕНИЕ</w:t>
      </w:r>
      <w:r/>
    </w:p>
    <w:p>
      <w:pPr>
        <w:ind w:left="5245"/>
        <w:jc w:val="center"/>
      </w:pPr>
      <w:r>
        <w:t xml:space="preserve">к постановлению Правительства</w:t>
      </w:r>
      <w:r/>
    </w:p>
    <w:p>
      <w:pPr>
        <w:ind w:left="5245"/>
        <w:jc w:val="center"/>
        <w:tabs>
          <w:tab w:val="left" w:pos="5670" w:leader="none"/>
        </w:tabs>
      </w:pPr>
      <w:r>
        <w:t xml:space="preserve">Забайкальского края</w: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</w:rPr>
        <w:outlineLvl w:val="0"/>
      </w:pPr>
      <w:r>
        <w:rPr>
          <w:b/>
        </w:rPr>
        <w:t xml:space="preserve">РАСПРЕДЕЛЕНИЕ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дотаций, предоставляемых в 202</w:t>
      </w:r>
      <w:r>
        <w:rPr>
          <w:b/>
        </w:rPr>
        <w:t xml:space="preserve">5</w:t>
      </w:r>
      <w:r>
        <w:rPr>
          <w:b/>
        </w:rPr>
        <w:t xml:space="preserve"> году из бюджета Забайкальского края бюджетам муниципальных районов (муниципальных округов, городских округов) Забайкальского края на поддержку мер по обеспечению сбалансированности бюджетов муниципальных районов (муниципальн</w:t>
      </w:r>
      <w:r>
        <w:rPr>
          <w:b/>
        </w:rPr>
        <w:t xml:space="preserve">ых округов, городских округов) Забайкальского края</w:t>
      </w:r>
      <w:r>
        <w:rPr>
          <w:b/>
        </w:rPr>
      </w:r>
    </w:p>
    <w:p>
      <w:pPr>
        <w:jc w:val="center"/>
        <w:rPr>
          <w:b/>
          <w:highlight w:val="yellow"/>
        </w:rPr>
      </w:pPr>
      <w:r>
        <w:rPr>
          <w:b/>
          <w:highlight w:val="yellow"/>
        </w:rPr>
      </w:r>
      <w:r>
        <w:rPr>
          <w:b/>
          <w:highlight w:val="yellow"/>
        </w:rPr>
      </w:r>
    </w:p>
    <w:tbl>
      <w:tblPr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410"/>
      </w:tblGrid>
      <w:tr>
        <w:tblPrEx/>
        <w:trPr>
          <w:trHeight w:val="2403"/>
          <w:tblHeader/>
        </w:trPr>
        <w:tc>
          <w:tcPr>
            <w:tcW w:w="709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 п/п</w:t>
            </w:r>
            <w:r>
              <w:rPr>
                <w:b/>
              </w:rPr>
            </w:r>
          </w:p>
        </w:tc>
        <w:tc>
          <w:tcPr>
            <w:tcW w:w="6095" w:type="dxa"/>
            <w:vAlign w:val="center"/>
            <w:textDirection w:val="lrTb"/>
            <w:noWrap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бюджетов муниципальных районов</w:t>
            </w:r>
            <w:bookmarkStart w:id="0" w:name="_GoBack"/>
            <w:r/>
            <w:bookmarkEnd w:id="0"/>
            <w:r>
              <w:rPr>
                <w:b/>
              </w:rPr>
              <w:t xml:space="preserve"> Забайкальского края</w:t>
            </w:r>
            <w:r>
              <w:rPr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Сумма, </w:t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 рублей</w:t>
            </w:r>
            <w:r>
              <w:rPr>
                <w:b/>
                <w:bCs/>
                <w:highlight w:val="yellow"/>
              </w:rPr>
            </w:r>
          </w:p>
        </w:tc>
      </w:tr>
    </w:tbl>
    <w:p>
      <w:pPr>
        <w:rPr>
          <w:sz w:val="2"/>
          <w:szCs w:val="2"/>
          <w:highlight w:val="yellow"/>
        </w:rPr>
      </w:pPr>
      <w:r>
        <w:rPr>
          <w:sz w:val="2"/>
          <w:szCs w:val="2"/>
          <w:highlight w:val="yellow"/>
        </w:rPr>
      </w:r>
      <w:r>
        <w:rPr>
          <w:sz w:val="2"/>
          <w:szCs w:val="2"/>
          <w:highlight w:val="yellow"/>
        </w:rPr>
      </w:r>
    </w:p>
    <w:tbl>
      <w:tblPr>
        <w:tblW w:w="921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410"/>
      </w:tblGrid>
      <w:tr>
        <w:tblPrEx/>
        <w:trPr>
          <w:trHeight w:val="381"/>
          <w:tblHeader/>
        </w:trPr>
        <w:tc>
          <w:tcPr>
            <w:tcW w:w="709" w:type="dxa"/>
            <w:textDirection w:val="lrTb"/>
            <w:noWrap/>
          </w:tcPr>
          <w:p>
            <w:pPr>
              <w:jc w:val="center"/>
              <w:widowControl w:val="off"/>
            </w:pPr>
            <w:r>
              <w:t xml:space="preserve">1</w:t>
            </w:r>
            <w:r/>
          </w:p>
        </w:tc>
        <w:tc>
          <w:tcPr>
            <w:tcW w:w="6095" w:type="dxa"/>
            <w:textDirection w:val="lrTb"/>
            <w:noWrap/>
          </w:tcPr>
          <w:p>
            <w:pPr>
              <w:jc w:val="center"/>
              <w:widowControl w:val="off"/>
            </w:pPr>
            <w:r>
              <w:t xml:space="preserve">2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3</w:t>
            </w:r>
            <w:r/>
          </w:p>
        </w:tc>
      </w:tr>
      <w:tr>
        <w:tblPrEx/>
        <w:trPr>
          <w:trHeight w:val="617"/>
        </w:trPr>
        <w:tc>
          <w:tcPr>
            <w:tcW w:w="709" w:type="dxa"/>
            <w:textDirection w:val="lrTb"/>
            <w:noWrap/>
          </w:tcPr>
          <w:p>
            <w:pPr>
              <w:jc w:val="center"/>
              <w:widowControl w:val="off"/>
            </w:pPr>
            <w:r>
              <w:t xml:space="preserve">1.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«Агинский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widowControl w:val="off"/>
            </w:pPr>
            <w:r>
              <w:t xml:space="preserve">2 163 500,0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2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pPr>
              <w:widowControl w:val="off"/>
              <w:rPr>
                <w:rFonts w:ascii="Arial" w:hAnsi="Arial" w:cs="Arial"/>
              </w:rPr>
            </w:pPr>
            <w:r>
              <w:t xml:space="preserve">Бюджет муниципального района «Борзинский ра</w:t>
            </w:r>
            <w:r>
              <w:t xml:space="preserve">йон» Забайкальского края</w:t>
            </w:r>
            <w:r>
              <w:rPr>
                <w:rFonts w:ascii="Arial" w:hAnsi="Arial" w:cs="Arial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t xml:space="preserve">4 685 800,0</w:t>
            </w:r>
            <w:r>
              <w:rPr>
                <w:highlight w:val="yellow"/>
              </w:rPr>
            </w:r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«Дульдургинский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1 842 000,0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«Красночикойский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4 310 300,0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5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«Кыринский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2 237 400,0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6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«Могойтуйский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2 848 300,0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7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«Нерчинский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3 269 200,0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8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«Хилокский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2 394 500,0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>
              <w:t xml:space="preserve">9</w:t>
            </w:r>
            <w:r>
              <w:t xml:space="preserve">.</w:t>
            </w:r>
            <w:r/>
          </w:p>
        </w:tc>
        <w:tc>
          <w:tcPr>
            <w:tcW w:w="6095" w:type="dxa"/>
            <w:textDirection w:val="lrTb"/>
            <w:noWrap/>
          </w:tcPr>
          <w:p>
            <w:r>
              <w:t xml:space="preserve">Бюджет муниципального района «Читинский район» Забайкальского края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</w:pPr>
            <w:r>
              <w:t xml:space="preserve">5 954 500,0</w:t>
            </w:r>
            <w:r/>
          </w:p>
        </w:tc>
      </w:tr>
      <w:tr>
        <w:tblPrEx/>
        <w:trPr>
          <w:trHeight w:val="552"/>
        </w:trPr>
        <w:tc>
          <w:tcPr>
            <w:tcW w:w="709" w:type="dxa"/>
            <w:textDirection w:val="lrTb"/>
            <w:noWrap/>
          </w:tcPr>
          <w:p>
            <w:pPr>
              <w:jc w:val="center"/>
            </w:pPr>
            <w:r/>
            <w:r/>
          </w:p>
        </w:tc>
        <w:tc>
          <w:tcPr>
            <w:tcW w:w="6095" w:type="dxa"/>
            <w:textDirection w:val="lrTb"/>
            <w:noWrap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>
              <w:rPr>
                <w:b/>
                <w:bCs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29 705 500,0</w:t>
            </w:r>
            <w:r>
              <w:rPr>
                <w:b/>
              </w:rPr>
            </w:r>
          </w:p>
        </w:tc>
      </w:tr>
    </w:tbl>
    <w:p>
      <w:pPr>
        <w:jc w:val="center"/>
      </w:pPr>
      <w:r/>
      <w:r/>
    </w:p>
    <w:p>
      <w:pPr>
        <w:jc w:val="center"/>
      </w:pPr>
      <w:r>
        <w:t xml:space="preserve">_______________________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567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</w:t>
    </w:r>
    <w:r>
      <w:fldChar w:fldCharType="end"/>
    </w:r>
    <w:r/>
  </w:p>
  <w:p>
    <w:pPr>
      <w:pStyle w:val="734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</w:pPr>
    <w:r/>
    <w:r/>
  </w:p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cs="Times New Roman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7" w:default="1">
    <w:name w:val="Normal"/>
    <w:qFormat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688">
    <w:name w:val="Heading 1"/>
    <w:basedOn w:val="687"/>
    <w:next w:val="687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697"/>
    <w:uiPriority w:val="10"/>
    <w:rPr>
      <w:sz w:val="48"/>
      <w:szCs w:val="48"/>
    </w:rPr>
  </w:style>
  <w:style w:type="character" w:styleId="710" w:customStyle="1">
    <w:name w:val="Subtitle Char"/>
    <w:basedOn w:val="697"/>
    <w:uiPriority w:val="11"/>
    <w:rPr>
      <w:sz w:val="24"/>
      <w:szCs w:val="24"/>
    </w:rPr>
  </w:style>
  <w:style w:type="character" w:styleId="711" w:customStyle="1">
    <w:name w:val="Quote Char"/>
    <w:uiPriority w:val="29"/>
    <w:rPr>
      <w:i/>
    </w:rPr>
  </w:style>
  <w:style w:type="character" w:styleId="712" w:customStyle="1">
    <w:name w:val="Intense Quote Char"/>
    <w:uiPriority w:val="30"/>
    <w:rPr>
      <w:i/>
    </w:rPr>
  </w:style>
  <w:style w:type="character" w:styleId="713" w:customStyle="1">
    <w:name w:val="Footnote Text Char"/>
    <w:uiPriority w:val="99"/>
    <w:rPr>
      <w:sz w:val="18"/>
    </w:rPr>
  </w:style>
  <w:style w:type="character" w:styleId="714" w:customStyle="1">
    <w:name w:val="Endnote Text Char"/>
    <w:uiPriority w:val="99"/>
    <w:rPr>
      <w:sz w:val="20"/>
    </w:rPr>
  </w:style>
  <w:style w:type="character" w:styleId="715" w:customStyle="1">
    <w:name w:val="Заголовок 1 Знак"/>
    <w:link w:val="688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689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690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687"/>
    <w:uiPriority w:val="34"/>
    <w:qFormat/>
    <w:pPr>
      <w:contextualSpacing/>
      <w:ind w:left="720"/>
    </w:pPr>
  </w:style>
  <w:style w:type="paragraph" w:styleId="725">
    <w:name w:val="No Spacing"/>
    <w:uiPriority w:val="1"/>
    <w:qFormat/>
  </w:style>
  <w:style w:type="paragraph" w:styleId="726">
    <w:name w:val="Title"/>
    <w:basedOn w:val="687"/>
    <w:next w:val="687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link w:val="726"/>
    <w:uiPriority w:val="10"/>
    <w:rPr>
      <w:sz w:val="48"/>
      <w:szCs w:val="48"/>
    </w:rPr>
  </w:style>
  <w:style w:type="paragraph" w:styleId="728">
    <w:name w:val="Subtitle"/>
    <w:basedOn w:val="687"/>
    <w:next w:val="687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687"/>
    <w:next w:val="687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687"/>
    <w:next w:val="687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687"/>
    <w:link w:val="88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5" w:customStyle="1">
    <w:name w:val="Header Char"/>
    <w:uiPriority w:val="99"/>
  </w:style>
  <w:style w:type="paragraph" w:styleId="736">
    <w:name w:val="Footer"/>
    <w:basedOn w:val="687"/>
    <w:link w:val="88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37" w:customStyle="1">
    <w:name w:val="Footer Char"/>
    <w:uiPriority w:val="99"/>
  </w:style>
  <w:style w:type="paragraph" w:styleId="73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9" w:customStyle="1">
    <w:name w:val="Caption Char"/>
    <w:uiPriority w:val="99"/>
  </w:style>
  <w:style w:type="table" w:styleId="740">
    <w:name w:val="Table Grid"/>
    <w:basedOn w:val="698"/>
    <w:uiPriority w:val="59"/>
    <w:rPr>
      <w:rFonts w:ascii="Times New Roman" w:hAnsi="Times New Roman" w:cs="Times New Roman"/>
    </w:rPr>
    <w:tblPr/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687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687"/>
    <w:link w:val="871"/>
    <w:uiPriority w:val="99"/>
    <w:semiHidden/>
    <w:unhideWhenUsed/>
    <w:rPr>
      <w:sz w:val="20"/>
    </w:rPr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687"/>
    <w:next w:val="687"/>
    <w:uiPriority w:val="39"/>
    <w:unhideWhenUsed/>
    <w:pPr>
      <w:spacing w:after="57"/>
    </w:pPr>
  </w:style>
  <w:style w:type="paragraph" w:styleId="874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75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76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77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78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79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80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81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687"/>
    <w:next w:val="687"/>
    <w:uiPriority w:val="99"/>
    <w:unhideWhenUsed/>
  </w:style>
  <w:style w:type="paragraph" w:styleId="884">
    <w:name w:val="Balloon Text"/>
    <w:basedOn w:val="687"/>
    <w:link w:val="885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styleId="885" w:customStyle="1">
    <w:name w:val="Текст выноски Знак"/>
    <w:link w:val="884"/>
    <w:uiPriority w:val="99"/>
    <w:semiHidden/>
    <w:rPr>
      <w:rFonts w:ascii="Tahoma" w:hAnsi="Tahoma" w:cs="Tahoma"/>
      <w:color w:val="000000"/>
      <w:sz w:val="16"/>
      <w:szCs w:val="16"/>
      <w:lang w:val="en-US" w:eastAsia="ru-RU"/>
    </w:rPr>
  </w:style>
  <w:style w:type="character" w:styleId="886" w:customStyle="1">
    <w:name w:val="Верхний колонтитул Знак"/>
    <w:link w:val="734"/>
    <w:uiPriority w:val="99"/>
    <w:rPr>
      <w:rFonts w:ascii="Times New Roman" w:hAnsi="Times New Roman" w:cs="Times New Roman"/>
      <w:color w:val="000000"/>
      <w:sz w:val="28"/>
      <w:szCs w:val="28"/>
      <w:lang w:val="en-US" w:eastAsia="ru-RU"/>
    </w:rPr>
  </w:style>
  <w:style w:type="character" w:styleId="887" w:customStyle="1">
    <w:name w:val="Нижний колонтитул Знак"/>
    <w:link w:val="736"/>
    <w:uiPriority w:val="99"/>
    <w:rPr>
      <w:rFonts w:ascii="Times New Roman" w:hAnsi="Times New Roman" w:cs="Times New Roman"/>
      <w:color w:val="000000"/>
      <w:sz w:val="28"/>
      <w:szCs w:val="28"/>
      <w:lang w:val="en-US" w:eastAsia="ru-RU"/>
    </w:rPr>
  </w:style>
  <w:style w:type="paragraph" w:styleId="888" w:customStyle="1">
    <w:name w:val="ConsPlu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889">
    <w:name w:val="Document Map"/>
    <w:basedOn w:val="687"/>
    <w:link w:val="890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90" w:customStyle="1">
    <w:name w:val="Схема документа Знак"/>
    <w:link w:val="889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KOMPOFIN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67</cp:revision>
  <dcterms:created xsi:type="dcterms:W3CDTF">2022-08-10T00:12:00Z</dcterms:created>
  <dcterms:modified xsi:type="dcterms:W3CDTF">2025-02-18T01:24:33Z</dcterms:modified>
  <cp:version>1048576</cp:version>
</cp:coreProperties>
</file>