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0" w:name="OLE_LINK4"/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1270" t="635" r="0" b="0"/>
                <wp:docPr id="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0,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94;height:8896;" stroked="false">
                  <v:path textboxrect="0,0,0,0"/>
                  <v:imagedata r:id="rId17" o:title=""/>
                </v:shape>
              </v:group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bookmarkEnd w:id="0"/>
    <w:p>
      <w:pPr>
        <w:shd w:val="clear" w:color="auto" w:fill="ffffff"/>
        <w:jc w:val="center"/>
        <w:rPr>
          <w:sz w:val="2"/>
          <w:szCs w:val="2"/>
        </w:rPr>
      </w:pPr>
    </w:p>
    <w:p>
      <w:pPr>
        <w:rPr>
          <w:color w:val="000000"/>
          <w:sz w:val="28"/>
          <w:szCs w:val="28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rPr>
          <w:b/>
          <w:bCs/>
          <w:color w:val="000000"/>
          <w:sz w:val="2"/>
          <w:szCs w:val="2"/>
        </w:rPr>
      </w:pPr>
    </w:p>
    <w:p>
      <w:pPr>
        <w:tabs>
          <w:tab w:val="left" w:pos="9356"/>
        </w:tabs>
        <w:ind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</w:t>
      </w:r>
      <w:r>
        <w:rPr>
          <w:b/>
          <w:bCs/>
          <w:color w:val="000000"/>
          <w:sz w:val="28"/>
          <w:szCs w:val="28"/>
        </w:rPr>
        <w:t xml:space="preserve">б утверждении Положения о </w:t>
      </w:r>
      <w:r>
        <w:rPr>
          <w:b/>
          <w:bCs/>
          <w:color w:val="000000"/>
          <w:sz w:val="28"/>
          <w:szCs w:val="28"/>
        </w:rPr>
        <w:t xml:space="preserve">ежегодных </w:t>
      </w:r>
      <w:r>
        <w:rPr>
          <w:b/>
          <w:bCs/>
          <w:sz w:val="28"/>
          <w:szCs w:val="28"/>
        </w:rPr>
        <w:t xml:space="preserve">конноспортивных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соревнованиях 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Кубок</w:t>
      </w:r>
      <w:r>
        <w:rPr>
          <w:b/>
          <w:bCs/>
          <w:color w:val="000000"/>
          <w:sz w:val="28"/>
          <w:szCs w:val="28"/>
        </w:rPr>
        <w:t xml:space="preserve"> Губернатора </w:t>
      </w:r>
      <w:r>
        <w:rPr>
          <w:b/>
          <w:bCs/>
          <w:color w:val="000000"/>
          <w:sz w:val="28"/>
          <w:szCs w:val="28"/>
        </w:rPr>
        <w:t xml:space="preserve">Забайкальского края</w:t>
      </w:r>
    </w:p>
    <w:p>
      <w:pPr>
        <w:ind w:firstLine="709"/>
        <w:jc w:val="center"/>
        <w:rPr>
          <w:sz w:val="28"/>
          <w:szCs w:val="28"/>
        </w:rPr>
      </w:pPr>
    </w:p>
    <w:p>
      <w:pPr>
        <w:ind w:firstLine="709"/>
        <w:rPr>
          <w:sz w:val="28"/>
          <w:szCs w:val="28"/>
        </w:rPr>
      </w:pPr>
    </w:p>
    <w:p>
      <w:pPr>
        <w:ind w:firstLine="709"/>
        <w:jc w:val="both"/>
        <w:rPr>
          <w:b/>
          <w:bCs/>
          <w:color w:val="000000"/>
          <w:spacing w:val="4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целях популяризации и развития конного спорта в Забайкальском крае, стимулирования племенного коневодства, выявления и поддержки любителей конного спорта Правительство Забайкальского края </w:t>
      </w:r>
      <w:r>
        <w:rPr>
          <w:b/>
          <w:bCs/>
          <w:color w:val="000000"/>
          <w:spacing w:val="20"/>
          <w:sz w:val="28"/>
          <w:szCs w:val="28"/>
        </w:rPr>
        <w:t xml:space="preserve">постановляет</w:t>
      </w:r>
      <w:r>
        <w:rPr>
          <w:b/>
          <w:bCs/>
          <w:color w:val="000000"/>
          <w:spacing w:val="2"/>
          <w:sz w:val="28"/>
          <w:szCs w:val="28"/>
        </w:rPr>
        <w:t xml:space="preserve">:</w:t>
      </w:r>
    </w:p>
    <w:p>
      <w:pPr>
        <w:ind w:firstLine="709"/>
        <w:jc w:val="both"/>
        <w:rPr>
          <w:color w:val="000000"/>
          <w:sz w:val="20"/>
          <w:szCs w:val="20"/>
        </w:rPr>
      </w:pPr>
    </w:p>
    <w:p>
      <w:pPr>
        <w:ind w:firstLine="709"/>
        <w:jc w:val="both"/>
        <w:rPr>
          <w:color w:val="000000"/>
          <w:sz w:val="20"/>
          <w:szCs w:val="20"/>
        </w:rPr>
      </w:pPr>
    </w:p>
    <w:p>
      <w:pPr>
        <w:pStyle w:val="af1"/>
        <w:numPr>
          <w:numId w:val="21"/>
          <w:ilvl w:val="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прилагаемое </w:t>
      </w:r>
      <w:r>
        <w:rPr>
          <w:color w:val="000000"/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 xml:space="preserve">о ежегодных </w:t>
      </w:r>
      <w:r>
        <w:rPr>
          <w:color w:val="000000"/>
          <w:sz w:val="28"/>
          <w:szCs w:val="28"/>
        </w:rPr>
        <w:t xml:space="preserve">конноспортивных</w:t>
      </w:r>
      <w:r>
        <w:rPr>
          <w:color w:val="000000"/>
          <w:sz w:val="28"/>
          <w:szCs w:val="28"/>
        </w:rPr>
        <w:t xml:space="preserve"> соревнованиях на Кубок Губернатора Забайкальского края.</w:t>
      </w:r>
    </w:p>
    <w:p>
      <w:pPr>
        <w:pStyle w:val="af1"/>
        <w:numPr>
          <w:numId w:val="21"/>
          <w:ilvl w:val="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постановление Правительства Забайкальского края </w:t>
      </w:r>
      <w:r>
        <w:rPr>
          <w:color w:val="000000"/>
          <w:sz w:val="28"/>
          <w:szCs w:val="28"/>
        </w:rPr>
        <w:t xml:space="preserve">от 5 сентября 2012 года № 373 «О розыгрыше Большого приза Правительства Забайкальского края (Кубка Губернатора)».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</w:t>
      </w:r>
    </w:p>
    <w:p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 Правительства</w:t>
      </w:r>
    </w:p>
    <w:p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</w:t>
      </w:r>
      <w:r>
        <w:rPr>
          <w:sz w:val="28"/>
          <w:szCs w:val="28"/>
        </w:rPr>
        <w:t xml:space="preserve">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А.И.Кефер</w:t>
      </w:r>
    </w:p>
    <w:p>
      <w:pPr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  <w:t xml:space="preserve">УТВЕРЖДЕНО</w:t>
      </w:r>
    </w:p>
    <w:p>
      <w:pPr>
        <w:spacing w:before="120"/>
        <w:ind w:left="453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</w:p>
    <w:p>
      <w:pPr>
        <w:ind w:left="453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</w:t>
      </w:r>
    </w:p>
    <w:p>
      <w:pPr>
        <w:rPr>
          <w:color w:val="000000"/>
          <w:sz w:val="28"/>
          <w:szCs w:val="28"/>
        </w:rPr>
      </w:pPr>
    </w:p>
    <w:p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</w:p>
    <w:p>
      <w:pPr>
        <w:tabs>
          <w:tab w:val="left" w:pos="9356"/>
        </w:tabs>
        <w:ind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ежегодных </w:t>
      </w:r>
      <w:r>
        <w:rPr>
          <w:b/>
          <w:color w:val="000000"/>
          <w:sz w:val="28"/>
          <w:szCs w:val="28"/>
        </w:rPr>
        <w:t xml:space="preserve">конноспортивных соревнованиях </w:t>
      </w:r>
      <w:r>
        <w:rPr>
          <w:b/>
          <w:bCs/>
          <w:color w:val="000000"/>
          <w:sz w:val="28"/>
          <w:szCs w:val="28"/>
        </w:rPr>
        <w:t xml:space="preserve">на Кубок Губернатора Забайкальского края</w:t>
      </w:r>
    </w:p>
    <w:p>
      <w:pPr>
        <w:jc w:val="both"/>
        <w:rPr>
          <w:color w:val="000000"/>
          <w:sz w:val="28"/>
          <w:szCs w:val="28"/>
        </w:rPr>
      </w:pP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Настоящее Положение </w:t>
      </w:r>
      <w:r>
        <w:rPr>
          <w:bCs/>
          <w:color w:val="000000"/>
          <w:sz w:val="28"/>
          <w:szCs w:val="28"/>
        </w:rPr>
        <w:t xml:space="preserve">о ежегодных </w:t>
      </w:r>
      <w:r>
        <w:rPr>
          <w:color w:val="000000"/>
          <w:sz w:val="28"/>
          <w:szCs w:val="28"/>
        </w:rPr>
        <w:t xml:space="preserve">конноспортивных</w:t>
      </w:r>
      <w:r>
        <w:rPr>
          <w:color w:val="000000"/>
          <w:sz w:val="28"/>
          <w:szCs w:val="28"/>
        </w:rPr>
        <w:t xml:space="preserve"> соревнованиях </w:t>
      </w:r>
      <w:r>
        <w:rPr>
          <w:bCs/>
          <w:color w:val="000000"/>
          <w:sz w:val="28"/>
          <w:szCs w:val="28"/>
        </w:rPr>
        <w:t xml:space="preserve">на Кубок Губернатора Забайкальского края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определяет правила </w:t>
      </w:r>
      <w:r>
        <w:rPr>
          <w:color w:val="000000"/>
          <w:spacing w:val="-4"/>
          <w:sz w:val="28"/>
          <w:szCs w:val="28"/>
        </w:rPr>
        <w:t xml:space="preserve">организации и </w:t>
      </w:r>
      <w:r>
        <w:rPr>
          <w:color w:val="000000"/>
          <w:spacing w:val="-4"/>
          <w:sz w:val="28"/>
          <w:szCs w:val="28"/>
        </w:rPr>
        <w:t xml:space="preserve">порядка </w:t>
      </w:r>
      <w:r>
        <w:rPr>
          <w:color w:val="000000"/>
          <w:spacing w:val="-4"/>
          <w:sz w:val="28"/>
          <w:szCs w:val="28"/>
        </w:rPr>
        <w:t xml:space="preserve">проведения </w:t>
      </w:r>
      <w:r>
        <w:rPr>
          <w:color w:val="000000"/>
          <w:spacing w:val="-4"/>
          <w:sz w:val="28"/>
          <w:szCs w:val="28"/>
        </w:rPr>
        <w:t xml:space="preserve">групповых соревнований верховых лошадей под седлом жокеев на резвость и выносливость</w:t>
      </w:r>
      <w:r>
        <w:rPr>
          <w:color w:val="000000"/>
          <w:spacing w:val="-4"/>
          <w:sz w:val="28"/>
          <w:szCs w:val="28"/>
        </w:rPr>
        <w:t xml:space="preserve"> (далее –</w:t>
      </w:r>
      <w:r>
        <w:rPr>
          <w:color w:val="000000"/>
          <w:spacing w:val="-4"/>
          <w:sz w:val="28"/>
          <w:szCs w:val="28"/>
        </w:rPr>
        <w:t xml:space="preserve"> Кубок Губернатора</w:t>
      </w:r>
      <w:r>
        <w:rPr>
          <w:color w:val="000000"/>
          <w:spacing w:val="-4"/>
          <w:sz w:val="28"/>
          <w:szCs w:val="28"/>
        </w:rPr>
        <w:t xml:space="preserve">, соревнования)</w:t>
      </w:r>
      <w:r>
        <w:rPr>
          <w:color w:val="000000"/>
          <w:spacing w:val="-4"/>
          <w:sz w:val="28"/>
          <w:szCs w:val="28"/>
        </w:rPr>
        <w:t xml:space="preserve">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</w:t>
      </w:r>
      <w:r>
        <w:rPr>
          <w:color w:val="000000"/>
          <w:spacing w:val="-4"/>
          <w:sz w:val="28"/>
          <w:szCs w:val="28"/>
        </w:rPr>
        <w:t xml:space="preserve">оревнования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проводя</w:t>
      </w:r>
      <w:r>
        <w:rPr>
          <w:color w:val="000000"/>
          <w:spacing w:val="-4"/>
          <w:sz w:val="28"/>
          <w:szCs w:val="28"/>
        </w:rPr>
        <w:t xml:space="preserve">тся в целях популяризации и развития конного спорта в Забайкальском крае, стимулирования племенного коневодства</w:t>
      </w:r>
      <w:r>
        <w:rPr>
          <w:color w:val="000000"/>
          <w:spacing w:val="-4"/>
          <w:sz w:val="28"/>
          <w:szCs w:val="28"/>
        </w:rPr>
        <w:t xml:space="preserve">, испытания</w:t>
      </w:r>
      <w:r>
        <w:rPr>
          <w:color w:val="000000"/>
          <w:spacing w:val="-4"/>
          <w:sz w:val="28"/>
          <w:szCs w:val="28"/>
        </w:rPr>
        <w:t xml:space="preserve"> племенных лошадей верховых пород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 xml:space="preserve">выявления и поддержки любителей конного спорта</w:t>
      </w:r>
      <w:r>
        <w:rPr>
          <w:color w:val="000000"/>
          <w:spacing w:val="-4"/>
          <w:sz w:val="28"/>
          <w:szCs w:val="28"/>
        </w:rPr>
        <w:t xml:space="preserve">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8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Задачами </w:t>
      </w:r>
      <w:r>
        <w:rPr>
          <w:color w:val="000000"/>
          <w:spacing w:val="-4"/>
          <w:sz w:val="28"/>
          <w:szCs w:val="28"/>
        </w:rPr>
        <w:t xml:space="preserve">соревнований </w:t>
      </w:r>
      <w:r>
        <w:rPr>
          <w:color w:val="000000"/>
          <w:spacing w:val="-4"/>
          <w:sz w:val="28"/>
          <w:szCs w:val="28"/>
        </w:rPr>
        <w:t xml:space="preserve">являются </w:t>
      </w:r>
      <w:r>
        <w:rPr>
          <w:color w:val="000000"/>
          <w:spacing w:val="-4"/>
          <w:sz w:val="28"/>
          <w:szCs w:val="28"/>
        </w:rPr>
        <w:t xml:space="preserve">привлечение к активным занятиям конным спортом детей, подростков и населения других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возрастных категорий;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повышен</w:t>
      </w:r>
      <w:r>
        <w:rPr>
          <w:color w:val="000000"/>
          <w:spacing w:val="-4"/>
          <w:sz w:val="28"/>
          <w:szCs w:val="28"/>
        </w:rPr>
        <w:t xml:space="preserve">ие уровня мастерства жокеев</w:t>
      </w:r>
      <w:r>
        <w:rPr>
          <w:color w:val="000000"/>
          <w:spacing w:val="-4"/>
          <w:sz w:val="28"/>
          <w:szCs w:val="28"/>
        </w:rPr>
        <w:t xml:space="preserve">;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получение соревновательной практики, совершенствование спортивного мастерства;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пропаганда конного спорта среди населения как способа активного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образа жизни</w:t>
      </w:r>
      <w:r>
        <w:rPr>
          <w:color w:val="000000"/>
          <w:spacing w:val="-4"/>
          <w:sz w:val="28"/>
          <w:szCs w:val="28"/>
        </w:rPr>
        <w:t xml:space="preserve"> и средства </w:t>
      </w:r>
      <w:r>
        <w:rPr>
          <w:spacing w:val="-4"/>
          <w:sz w:val="28"/>
          <w:szCs w:val="28"/>
        </w:rPr>
        <w:t xml:space="preserve">укрепления здоровья. 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Кубок Губернатора представляет собой металлический кубок под золото на ножке и двумя фигурными ручками по бокам с выпуклым рельефным радиальным рисунком; крышка кубка с фигуркой бегущей лошади на вершине; высота кубка без основания 57 см, радиус колбы 25 см; основание кубка под искусственный камень, коричневого цвета, прямоуго</w:t>
      </w:r>
      <w:bookmarkStart w:id="1" w:name="_GoBack"/>
      <w:bookmarkEnd w:id="1"/>
      <w:r>
        <w:rPr>
          <w:spacing w:val="-4"/>
          <w:sz w:val="28"/>
          <w:szCs w:val="28"/>
        </w:rPr>
        <w:t xml:space="preserve">льной формы с равными сторонами по 16 см, высота основания 9,5 см.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</w:t>
      </w:r>
      <w:r>
        <w:rPr>
          <w:spacing w:val="-4"/>
          <w:sz w:val="28"/>
          <w:szCs w:val="28"/>
        </w:rPr>
        <w:t xml:space="preserve">рг</w:t>
      </w:r>
      <w:r>
        <w:rPr>
          <w:spacing w:val="-4"/>
          <w:sz w:val="28"/>
          <w:szCs w:val="28"/>
        </w:rPr>
        <w:t xml:space="preserve">ан</w:t>
      </w:r>
      <w:r>
        <w:rPr>
          <w:spacing w:val="-4"/>
          <w:sz w:val="28"/>
          <w:szCs w:val="28"/>
        </w:rPr>
        <w:t xml:space="preserve">изатором соревнований являе</w:t>
      </w:r>
      <w:r>
        <w:rPr>
          <w:spacing w:val="-4"/>
          <w:sz w:val="28"/>
          <w:szCs w:val="28"/>
        </w:rPr>
        <w:t xml:space="preserve">тся </w:t>
      </w:r>
      <w:r>
        <w:rPr>
          <w:spacing w:val="-4"/>
          <w:sz w:val="28"/>
          <w:szCs w:val="28"/>
        </w:rPr>
        <w:t xml:space="preserve">государственно</w:t>
      </w:r>
      <w:r>
        <w:rPr>
          <w:spacing w:val="-4"/>
          <w:sz w:val="28"/>
          <w:szCs w:val="28"/>
        </w:rPr>
        <w:t xml:space="preserve">е учреждение</w:t>
      </w:r>
      <w:r>
        <w:rPr>
          <w:spacing w:val="-4"/>
          <w:sz w:val="28"/>
          <w:szCs w:val="28"/>
        </w:rPr>
        <w:t xml:space="preserve"> «Читинская государственная заводская конюшня с ипподромом им. </w:t>
      </w:r>
      <w:r>
        <w:rPr>
          <w:spacing w:val="-4"/>
          <w:sz w:val="28"/>
          <w:szCs w:val="28"/>
        </w:rPr>
        <w:t xml:space="preserve">Хосаена</w:t>
      </w:r>
      <w:r>
        <w:rPr>
          <w:spacing w:val="-4"/>
          <w:sz w:val="28"/>
          <w:szCs w:val="28"/>
        </w:rPr>
        <w:t xml:space="preserve"> Хакимова» (далее – Читинская </w:t>
      </w:r>
      <w:r>
        <w:rPr>
          <w:spacing w:val="-4"/>
          <w:sz w:val="28"/>
          <w:szCs w:val="28"/>
        </w:rPr>
        <w:t xml:space="preserve">госконюшня</w:t>
      </w:r>
      <w:r>
        <w:rPr>
          <w:spacing w:val="-4"/>
          <w:sz w:val="28"/>
          <w:szCs w:val="28"/>
        </w:rPr>
        <w:t xml:space="preserve">)</w:t>
      </w:r>
      <w:r>
        <w:rPr>
          <w:spacing w:val="-4"/>
          <w:sz w:val="28"/>
          <w:szCs w:val="28"/>
        </w:rPr>
        <w:t xml:space="preserve">.</w:t>
      </w:r>
    </w:p>
    <w:p>
      <w:pPr>
        <w:numPr>
          <w:numId w:val="12"/>
          <w:ilvl w:val="0"/>
        </w:numPr>
        <w:tabs>
          <w:tab w:val="clear" w:pos="1068"/>
          <w:tab w:val="num" w:pos="0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Соревнования проводя</w:t>
      </w:r>
      <w:r>
        <w:rPr>
          <w:color w:val="000000"/>
          <w:spacing w:val="-4"/>
          <w:sz w:val="28"/>
          <w:szCs w:val="28"/>
        </w:rPr>
        <w:t xml:space="preserve">тся ежегодно в сентябре на ипподроме</w:t>
      </w:r>
      <w:r>
        <w:rPr>
          <w:color w:val="000000"/>
          <w:spacing w:val="-4"/>
          <w:sz w:val="28"/>
          <w:szCs w:val="28"/>
        </w:rPr>
        <w:t xml:space="preserve"> Читинской </w:t>
      </w:r>
      <w:r>
        <w:rPr>
          <w:color w:val="000000"/>
          <w:spacing w:val="-4"/>
          <w:sz w:val="28"/>
          <w:szCs w:val="28"/>
        </w:rPr>
        <w:t xml:space="preserve">госконюшни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 рамках проведения </w:t>
      </w:r>
      <w:r>
        <w:rPr>
          <w:color w:val="000000"/>
          <w:spacing w:val="-4"/>
          <w:sz w:val="28"/>
          <w:szCs w:val="28"/>
        </w:rPr>
        <w:t xml:space="preserve">выставки</w:t>
      </w:r>
      <w:r>
        <w:rPr>
          <w:color w:val="000000"/>
          <w:spacing w:val="-4"/>
          <w:sz w:val="28"/>
          <w:szCs w:val="28"/>
        </w:rPr>
        <w:t xml:space="preserve">-ярмар</w:t>
      </w:r>
      <w:r>
        <w:rPr>
          <w:color w:val="000000"/>
          <w:spacing w:val="-4"/>
          <w:sz w:val="28"/>
          <w:szCs w:val="28"/>
        </w:rPr>
        <w:t xml:space="preserve">ки</w:t>
      </w:r>
      <w:r>
        <w:rPr>
          <w:color w:val="000000"/>
          <w:spacing w:val="-4"/>
          <w:sz w:val="28"/>
          <w:szCs w:val="28"/>
        </w:rPr>
        <w:t xml:space="preserve"> «Золотая осень Забайкалья».</w:t>
      </w:r>
    </w:p>
    <w:p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Дата проведения </w:t>
      </w:r>
      <w:r>
        <w:rPr>
          <w:color w:val="000000"/>
          <w:spacing w:val="-4"/>
          <w:sz w:val="28"/>
          <w:szCs w:val="28"/>
        </w:rPr>
        <w:t xml:space="preserve">соревнований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определяется </w:t>
      </w:r>
      <w:r>
        <w:rPr>
          <w:color w:val="000000"/>
          <w:spacing w:val="-4"/>
          <w:sz w:val="28"/>
          <w:szCs w:val="28"/>
        </w:rPr>
        <w:t xml:space="preserve">приказом Министерства</w:t>
      </w:r>
      <w:r>
        <w:rPr>
          <w:color w:val="000000"/>
          <w:spacing w:val="-4"/>
          <w:sz w:val="28"/>
          <w:szCs w:val="28"/>
        </w:rPr>
        <w:t xml:space="preserve"> сельского хозяйства Забайкальского края (далее – Министерство)</w:t>
      </w:r>
      <w:r>
        <w:rPr>
          <w:color w:val="000000"/>
          <w:spacing w:val="-4"/>
          <w:sz w:val="28"/>
          <w:szCs w:val="28"/>
        </w:rPr>
        <w:t xml:space="preserve">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Информация о проведении </w:t>
      </w:r>
      <w:r>
        <w:rPr>
          <w:color w:val="000000"/>
          <w:spacing w:val="-4"/>
          <w:sz w:val="28"/>
          <w:szCs w:val="28"/>
        </w:rPr>
        <w:t xml:space="preserve">соревнований </w:t>
      </w:r>
      <w:r>
        <w:rPr>
          <w:color w:val="000000"/>
          <w:spacing w:val="-4"/>
          <w:sz w:val="28"/>
          <w:szCs w:val="28"/>
        </w:rPr>
        <w:t xml:space="preserve">размещается </w:t>
      </w:r>
      <w:r>
        <w:rPr>
          <w:color w:val="000000"/>
          <w:spacing w:val="-4"/>
          <w:sz w:val="28"/>
          <w:szCs w:val="28"/>
        </w:rPr>
        <w:t xml:space="preserve">н</w:t>
      </w:r>
      <w:r>
        <w:rPr>
          <w:color w:val="000000"/>
          <w:spacing w:val="-4"/>
          <w:sz w:val="28"/>
          <w:szCs w:val="28"/>
        </w:rPr>
        <w:t xml:space="preserve">а официальном сайте Министерства в информационно-телекоммуникационной сети </w:t>
      </w:r>
      <w:r>
        <w:rPr>
          <w:color w:val="000000"/>
          <w:spacing w:val="-4"/>
          <w:sz w:val="28"/>
          <w:szCs w:val="28"/>
        </w:rPr>
        <w:t xml:space="preserve">«</w:t>
      </w:r>
      <w:r>
        <w:rPr>
          <w:color w:val="000000"/>
          <w:spacing w:val="-4"/>
          <w:sz w:val="28"/>
          <w:szCs w:val="28"/>
        </w:rPr>
        <w:t xml:space="preserve">Интернет</w:t>
      </w:r>
      <w:r>
        <w:rPr>
          <w:color w:val="000000"/>
          <w:spacing w:val="-4"/>
          <w:sz w:val="28"/>
          <w:szCs w:val="28"/>
        </w:rPr>
        <w:t xml:space="preserve">» (https://mcx.75.ru/</w:t>
      </w:r>
      <w:r>
        <w:rPr>
          <w:color w:val="000000"/>
          <w:spacing w:val="-4"/>
          <w:sz w:val="28"/>
          <w:szCs w:val="28"/>
        </w:rPr>
        <w:t xml:space="preserve">) (далее </w:t>
      </w:r>
      <w:r>
        <w:rPr>
          <w:color w:val="000000"/>
          <w:spacing w:val="-4"/>
          <w:sz w:val="28"/>
          <w:szCs w:val="28"/>
        </w:rPr>
        <w:t xml:space="preserve">–</w:t>
      </w:r>
      <w:r>
        <w:rPr>
          <w:color w:val="000000"/>
          <w:spacing w:val="-4"/>
          <w:sz w:val="28"/>
          <w:szCs w:val="28"/>
        </w:rPr>
        <w:t xml:space="preserve"> официальный сайт)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не менее чем за 15</w:t>
      </w:r>
      <w:r>
        <w:rPr>
          <w:color w:val="000000"/>
          <w:spacing w:val="-4"/>
          <w:sz w:val="28"/>
          <w:szCs w:val="28"/>
        </w:rPr>
        <w:t xml:space="preserve"> календарных дней до даты проведения</w:t>
      </w:r>
      <w:r>
        <w:rPr>
          <w:color w:val="000000"/>
          <w:spacing w:val="-4"/>
          <w:sz w:val="28"/>
          <w:szCs w:val="28"/>
        </w:rPr>
        <w:t xml:space="preserve"> соревнований</w:t>
      </w:r>
      <w:r>
        <w:rPr>
          <w:color w:val="000000"/>
          <w:spacing w:val="-4"/>
          <w:sz w:val="28"/>
          <w:szCs w:val="28"/>
        </w:rPr>
        <w:t xml:space="preserve">.</w:t>
      </w:r>
    </w:p>
    <w:p>
      <w:pPr>
        <w:numPr>
          <w:numId w:val="12"/>
          <w:ilvl w:val="0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Соревнования проводя</w:t>
      </w:r>
      <w:r>
        <w:rPr>
          <w:color w:val="000000"/>
          <w:spacing w:val="-4"/>
          <w:sz w:val="28"/>
          <w:szCs w:val="28"/>
        </w:rPr>
        <w:t xml:space="preserve">тся в соответствии с Правилами испытаний племенных лошадей верховых пород на ипподромах Российской Федерации </w:t>
      </w:r>
      <w:r>
        <w:rPr>
          <w:spacing w:val="-4"/>
          <w:sz w:val="28"/>
          <w:szCs w:val="28"/>
        </w:rPr>
        <w:t xml:space="preserve">(СНП </w:t>
      </w:r>
      <w:r>
        <w:rPr>
          <w:spacing w:val="-4"/>
          <w:sz w:val="28"/>
          <w:szCs w:val="28"/>
        </w:rPr>
        <w:t xml:space="preserve">плем</w:t>
      </w:r>
      <w:r>
        <w:rPr>
          <w:spacing w:val="-4"/>
          <w:sz w:val="28"/>
          <w:szCs w:val="28"/>
        </w:rPr>
        <w:t xml:space="preserve"> Р-42-2004)</w:t>
      </w:r>
      <w:r>
        <w:rPr>
          <w:color w:val="000000"/>
          <w:spacing w:val="-4"/>
          <w:sz w:val="28"/>
          <w:szCs w:val="28"/>
        </w:rPr>
        <w:t xml:space="preserve">, утвержденными Министерством сельского хозяйства Российской Федерации </w:t>
      </w:r>
      <w:r>
        <w:rPr>
          <w:spacing w:val="-4"/>
          <w:sz w:val="28"/>
          <w:szCs w:val="28"/>
        </w:rPr>
        <w:t xml:space="preserve">13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мая 2004</w:t>
      </w:r>
      <w:r>
        <w:rPr>
          <w:color w:val="000000"/>
          <w:spacing w:val="-4"/>
          <w:sz w:val="28"/>
          <w:szCs w:val="28"/>
        </w:rPr>
        <w:t xml:space="preserve"> года.</w:t>
      </w:r>
    </w:p>
    <w:p>
      <w:pPr>
        <w:numPr>
          <w:numId w:val="12"/>
          <w:ilvl w:val="0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 участию в </w:t>
      </w:r>
      <w:r>
        <w:rPr>
          <w:spacing w:val="-4"/>
          <w:sz w:val="28"/>
          <w:szCs w:val="28"/>
        </w:rPr>
        <w:t xml:space="preserve">соревнованиях</w:t>
      </w:r>
      <w:r>
        <w:rPr>
          <w:spacing w:val="-4"/>
          <w:sz w:val="28"/>
          <w:szCs w:val="28"/>
        </w:rPr>
        <w:t xml:space="preserve"> допускаются племенные лошади полукровных пород в возрасте 4 лет и старше, </w:t>
      </w:r>
      <w:r>
        <w:rPr>
          <w:spacing w:val="-4"/>
          <w:sz w:val="28"/>
          <w:szCs w:val="28"/>
        </w:rPr>
        <w:t xml:space="preserve">родившиеся и </w:t>
      </w:r>
      <w:r>
        <w:rPr>
          <w:spacing w:val="-4"/>
          <w:sz w:val="28"/>
          <w:szCs w:val="28"/>
        </w:rPr>
        <w:t xml:space="preserve">выращенные в Забайкальском крае и </w:t>
      </w:r>
      <w:r>
        <w:rPr>
          <w:color w:val="000000"/>
          <w:spacing w:val="-4"/>
          <w:sz w:val="28"/>
          <w:szCs w:val="28"/>
        </w:rPr>
        <w:t xml:space="preserve">являющиеся победителями и призерами (1-3 места) в </w:t>
      </w:r>
      <w:r>
        <w:rPr>
          <w:spacing w:val="-4"/>
          <w:sz w:val="28"/>
          <w:szCs w:val="28"/>
        </w:rPr>
        <w:t xml:space="preserve">районных</w:t>
      </w:r>
      <w:r>
        <w:rPr>
          <w:spacing w:val="-4"/>
          <w:sz w:val="28"/>
          <w:szCs w:val="28"/>
        </w:rPr>
        <w:t xml:space="preserve"> (о</w:t>
      </w:r>
      <w:r>
        <w:rPr>
          <w:spacing w:val="-4"/>
          <w:sz w:val="28"/>
          <w:szCs w:val="28"/>
        </w:rPr>
        <w:t xml:space="preserve">кружных</w:t>
      </w:r>
      <w:r>
        <w:rPr>
          <w:spacing w:val="-4"/>
          <w:sz w:val="28"/>
          <w:szCs w:val="28"/>
        </w:rPr>
        <w:t xml:space="preserve">), городских</w:t>
      </w:r>
      <w:r>
        <w:rPr>
          <w:spacing w:val="-4"/>
          <w:sz w:val="28"/>
          <w:szCs w:val="28"/>
        </w:rPr>
        <w:t xml:space="preserve"> и краевых испытаниях племенных </w:t>
      </w:r>
      <w:r>
        <w:rPr>
          <w:color w:val="000000"/>
          <w:spacing w:val="-4"/>
          <w:sz w:val="28"/>
          <w:szCs w:val="28"/>
        </w:rPr>
        <w:t xml:space="preserve">лошадей (далее – лошади). </w:t>
      </w:r>
    </w:p>
    <w:p>
      <w:pPr>
        <w:numPr>
          <w:numId w:val="12"/>
          <w:ilvl w:val="0"/>
        </w:numPr>
        <w:tabs>
          <w:tab w:val="clear" w:pos="1068"/>
          <w:tab w:val="left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 участию </w:t>
      </w:r>
      <w:r>
        <w:rPr>
          <w:color w:val="000000"/>
          <w:spacing w:val="-4"/>
          <w:sz w:val="28"/>
          <w:szCs w:val="28"/>
        </w:rPr>
        <w:t xml:space="preserve">в соревнованиях </w:t>
      </w:r>
      <w:r>
        <w:rPr>
          <w:color w:val="000000"/>
          <w:spacing w:val="-4"/>
          <w:sz w:val="28"/>
          <w:szCs w:val="28"/>
        </w:rPr>
        <w:t xml:space="preserve">допускаются жокеи в возрасте не моложе 16 лет.</w:t>
      </w:r>
    </w:p>
    <w:p>
      <w:pPr>
        <w:numPr>
          <w:numId w:val="12"/>
          <w:ilvl w:val="0"/>
        </w:numPr>
        <w:tabs>
          <w:tab w:val="clear" w:pos="1068"/>
          <w:tab w:val="left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Дистанция соревнований – 2400 метров.</w:t>
      </w:r>
    </w:p>
    <w:p>
      <w:pPr>
        <w:numPr>
          <w:numId w:val="12"/>
          <w:ilvl w:val="0"/>
        </w:numPr>
        <w:tabs>
          <w:tab w:val="clear" w:pos="1068"/>
          <w:tab w:val="left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Максимальное количество лошадей, допускаемых к участию </w:t>
      </w:r>
      <w:r>
        <w:rPr>
          <w:color w:val="000000"/>
          <w:spacing w:val="-4"/>
          <w:sz w:val="28"/>
          <w:szCs w:val="28"/>
        </w:rPr>
        <w:t xml:space="preserve">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соревнованиях</w:t>
      </w:r>
      <w:r>
        <w:rPr>
          <w:color w:val="000000"/>
          <w:spacing w:val="-4"/>
          <w:sz w:val="28"/>
          <w:szCs w:val="28"/>
        </w:rPr>
        <w:t xml:space="preserve">, − 15 голов.</w:t>
      </w:r>
    </w:p>
    <w:p>
      <w:pPr>
        <w:numPr>
          <w:numId w:val="12"/>
          <w:ilvl w:val="0"/>
        </w:numPr>
        <w:tabs>
          <w:tab w:val="clear" w:pos="1068"/>
          <w:tab w:val="left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Юридические или физические лица, заявленные в качестве владельца лошади, представляют в Читинскую </w:t>
      </w:r>
      <w:r>
        <w:rPr>
          <w:spacing w:val="-4"/>
          <w:sz w:val="28"/>
          <w:szCs w:val="28"/>
        </w:rPr>
        <w:t xml:space="preserve">госконюшню</w:t>
      </w:r>
      <w:r>
        <w:rPr>
          <w:spacing w:val="-4"/>
          <w:sz w:val="28"/>
          <w:szCs w:val="28"/>
        </w:rPr>
        <w:t xml:space="preserve"> не ранее чем за</w:t>
      </w:r>
      <w:r>
        <w:rPr>
          <w:spacing w:val="-4"/>
          <w:sz w:val="28"/>
          <w:szCs w:val="28"/>
        </w:rPr>
        <w:t xml:space="preserve"> 2 месяца и не </w:t>
      </w:r>
      <w:r>
        <w:rPr>
          <w:spacing w:val="-4"/>
          <w:sz w:val="28"/>
          <w:szCs w:val="28"/>
        </w:rPr>
        <w:t xml:space="preserve">позднее</w:t>
      </w:r>
      <w:r>
        <w:rPr>
          <w:spacing w:val="-4"/>
          <w:sz w:val="28"/>
          <w:szCs w:val="28"/>
        </w:rPr>
        <w:t xml:space="preserve"> чем за 2</w:t>
      </w:r>
      <w:r>
        <w:rPr>
          <w:spacing w:val="-4"/>
          <w:sz w:val="28"/>
          <w:szCs w:val="28"/>
        </w:rPr>
        <w:t xml:space="preserve"> календарных дней до </w:t>
      </w:r>
      <w:r>
        <w:rPr>
          <w:spacing w:val="-4"/>
          <w:sz w:val="28"/>
          <w:szCs w:val="28"/>
        </w:rPr>
        <w:t xml:space="preserve">соревнований</w:t>
      </w:r>
      <w:r>
        <w:rPr>
          <w:spacing w:val="-4"/>
          <w:sz w:val="28"/>
          <w:szCs w:val="28"/>
        </w:rPr>
        <w:t xml:space="preserve"> заявку на участие по форме согласно приложению к настоящему Положению, копии документов, подтверждающих право распоряжаться лошадью на законных основаниях (паспорт племенной лошади с отметкой о владении, договор аренды или иной документ).</w:t>
      </w:r>
    </w:p>
    <w:p>
      <w:pPr>
        <w:tabs>
          <w:tab w:val="left" w:pos="0"/>
          <w:tab w:val="num" w:pos="142"/>
          <w:tab w:val="left" w:pos="1276"/>
        </w:tabs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прибытии лошади </w:t>
      </w:r>
      <w:r>
        <w:rPr>
          <w:spacing w:val="-4"/>
          <w:sz w:val="28"/>
          <w:szCs w:val="28"/>
        </w:rPr>
        <w:t xml:space="preserve">в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Читинскую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госконюшню</w:t>
      </w:r>
      <w:r>
        <w:rPr>
          <w:spacing w:val="-4"/>
          <w:sz w:val="28"/>
          <w:szCs w:val="28"/>
        </w:rPr>
        <w:t xml:space="preserve"> ее владелец представляет подлинники документов, подтверждающих право распоряжаться лошадью на законных основания</w:t>
      </w:r>
      <w:r>
        <w:rPr>
          <w:spacing w:val="-4"/>
          <w:sz w:val="28"/>
          <w:szCs w:val="28"/>
        </w:rPr>
        <w:t xml:space="preserve">х, и ветеринарное свидетельство, установленной формы.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Владельцы лошадей несут ответственность в соответствии с законодательством за </w:t>
      </w:r>
      <w:r>
        <w:rPr>
          <w:sz w:val="28"/>
          <w:szCs w:val="28"/>
        </w:rPr>
        <w:t xml:space="preserve">достоверность представленных в М</w:t>
      </w:r>
      <w:r>
        <w:rPr>
          <w:sz w:val="28"/>
          <w:szCs w:val="28"/>
        </w:rPr>
        <w:t xml:space="preserve">инистерство сведений и (или) документов.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  <w:tab w:val="num" w:pos="142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Расходы по содержанию лошадей на </w:t>
      </w:r>
      <w:r>
        <w:rPr>
          <w:spacing w:val="-4"/>
          <w:sz w:val="28"/>
          <w:szCs w:val="28"/>
        </w:rPr>
        <w:t xml:space="preserve">Читинской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госконюшне</w:t>
      </w:r>
      <w:r>
        <w:rPr>
          <w:spacing w:val="-4"/>
          <w:sz w:val="28"/>
          <w:szCs w:val="28"/>
        </w:rPr>
        <w:t xml:space="preserve"> несут владельцы лошадей.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  <w:tab w:val="num" w:pos="142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Для </w:t>
      </w:r>
      <w:r>
        <w:rPr>
          <w:spacing w:val="-4"/>
          <w:sz w:val="28"/>
          <w:szCs w:val="28"/>
        </w:rPr>
        <w:t xml:space="preserve">подведения итогов</w:t>
      </w:r>
      <w:r>
        <w:rPr>
          <w:spacing w:val="-4"/>
          <w:sz w:val="28"/>
          <w:szCs w:val="28"/>
        </w:rPr>
        <w:t xml:space="preserve"> и определения победителей и призеров </w:t>
      </w:r>
      <w:r>
        <w:rPr>
          <w:spacing w:val="-4"/>
          <w:sz w:val="28"/>
          <w:szCs w:val="28"/>
        </w:rPr>
        <w:t xml:space="preserve">соревнований </w:t>
      </w:r>
      <w:r>
        <w:rPr>
          <w:spacing w:val="-4"/>
          <w:sz w:val="28"/>
          <w:szCs w:val="28"/>
        </w:rPr>
        <w:t xml:space="preserve">создается судейская коллегия</w:t>
      </w:r>
      <w:r>
        <w:rPr>
          <w:spacing w:val="-4"/>
          <w:sz w:val="28"/>
          <w:szCs w:val="28"/>
        </w:rPr>
        <w:t xml:space="preserve">,</w:t>
      </w:r>
      <w:r>
        <w:rPr>
          <w:spacing w:val="-4"/>
          <w:sz w:val="28"/>
          <w:szCs w:val="28"/>
        </w:rPr>
        <w:t xml:space="preserve"> в</w:t>
      </w:r>
      <w:r>
        <w:rPr>
          <w:spacing w:val="-4"/>
          <w:sz w:val="28"/>
          <w:szCs w:val="28"/>
        </w:rPr>
        <w:t xml:space="preserve"> состав </w:t>
      </w:r>
      <w:r>
        <w:rPr>
          <w:spacing w:val="-4"/>
          <w:sz w:val="28"/>
          <w:szCs w:val="28"/>
        </w:rPr>
        <w:t xml:space="preserve">которой</w:t>
      </w:r>
      <w:r>
        <w:rPr>
          <w:spacing w:val="-4"/>
          <w:sz w:val="28"/>
          <w:szCs w:val="28"/>
        </w:rPr>
        <w:t xml:space="preserve"> входят представители М</w:t>
      </w:r>
      <w:r>
        <w:rPr>
          <w:spacing w:val="-4"/>
          <w:sz w:val="28"/>
          <w:szCs w:val="28"/>
        </w:rPr>
        <w:t xml:space="preserve">инистерства.</w:t>
      </w:r>
    </w:p>
    <w:p>
      <w:pPr>
        <w:tabs>
          <w:tab w:val="num" w:pos="0"/>
          <w:tab w:val="num" w:pos="142"/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Состав судейской коллегии</w:t>
      </w:r>
      <w:r>
        <w:rPr>
          <w:spacing w:val="-4"/>
          <w:sz w:val="28"/>
          <w:szCs w:val="28"/>
        </w:rPr>
        <w:t xml:space="preserve"> утверждается </w:t>
      </w:r>
      <w:r>
        <w:rPr>
          <w:spacing w:val="-4"/>
          <w:sz w:val="28"/>
          <w:szCs w:val="28"/>
        </w:rPr>
        <w:t xml:space="preserve">региональной общественной организацией </w:t>
      </w:r>
      <w:r>
        <w:rPr>
          <w:spacing w:val="-4"/>
          <w:sz w:val="28"/>
          <w:szCs w:val="28"/>
        </w:rPr>
        <w:t xml:space="preserve">«Ассоциация конного спорта Забайкальского края».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  <w:tab w:val="num" w:pos="142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Победитель </w:t>
      </w:r>
      <w:r>
        <w:rPr>
          <w:color w:val="000000"/>
          <w:spacing w:val="-4"/>
          <w:sz w:val="28"/>
          <w:szCs w:val="28"/>
        </w:rPr>
        <w:t xml:space="preserve">соревнований</w:t>
      </w:r>
      <w:r>
        <w:rPr>
          <w:color w:val="000000"/>
          <w:spacing w:val="-4"/>
          <w:sz w:val="28"/>
          <w:szCs w:val="28"/>
        </w:rPr>
        <w:t xml:space="preserve"> – владелец победившей в </w:t>
      </w:r>
      <w:r>
        <w:rPr>
          <w:color w:val="000000"/>
          <w:spacing w:val="-4"/>
          <w:sz w:val="28"/>
          <w:szCs w:val="28"/>
        </w:rPr>
        <w:t xml:space="preserve">соревнованиях</w:t>
      </w:r>
      <w:r>
        <w:rPr>
          <w:color w:val="000000"/>
          <w:spacing w:val="-4"/>
          <w:sz w:val="28"/>
          <w:szCs w:val="28"/>
        </w:rPr>
        <w:t xml:space="preserve"> лошади</w:t>
      </w:r>
      <w:r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награждается Кубком Губернатора и денежной премией.</w:t>
      </w:r>
    </w:p>
    <w:p>
      <w:pPr>
        <w:numPr>
          <w:numId w:val="12"/>
          <w:ilvl w:val="0"/>
        </w:numPr>
        <w:tabs>
          <w:tab w:val="clear" w:pos="1068"/>
          <w:tab w:val="left" w:pos="0"/>
        </w:tabs>
        <w:ind w:left="0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Владельцам лошадей, занявших призовые места, выплачиваются единовременные денежные премии в следующих пропорциях (в процентах от призового фонда): 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1) в </w:t>
      </w:r>
      <w:r>
        <w:rPr>
          <w:color w:val="000000"/>
          <w:spacing w:val="-4"/>
          <w:sz w:val="28"/>
          <w:szCs w:val="28"/>
        </w:rPr>
        <w:t xml:space="preserve">соревнованиях</w:t>
      </w:r>
      <w:r>
        <w:rPr>
          <w:color w:val="000000"/>
          <w:spacing w:val="-4"/>
          <w:sz w:val="28"/>
          <w:szCs w:val="28"/>
        </w:rPr>
        <w:t xml:space="preserve"> с участием 7 и менее лошадей: 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1 место − 50 %;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2 место − 30 %;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3 место − 20 %;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2)</w:t>
      </w:r>
      <w:r>
        <w:rPr>
          <w:color w:val="000000"/>
          <w:spacing w:val="-4"/>
          <w:sz w:val="28"/>
          <w:szCs w:val="28"/>
        </w:rPr>
        <w:t xml:space="preserve"> в соревнованиях</w:t>
      </w:r>
      <w:r>
        <w:rPr>
          <w:color w:val="000000"/>
          <w:spacing w:val="-4"/>
          <w:sz w:val="28"/>
          <w:szCs w:val="28"/>
        </w:rPr>
        <w:t xml:space="preserve"> с участием 8-</w:t>
      </w:r>
      <w:r>
        <w:rPr>
          <w:color w:val="000000"/>
          <w:spacing w:val="-4"/>
          <w:sz w:val="28"/>
          <w:szCs w:val="28"/>
        </w:rPr>
        <w:t xml:space="preserve">11 лошадей: 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1 место – 50 %;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2 место – 25 %;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3 место − 15 </w:t>
      </w:r>
      <w:r>
        <w:rPr>
          <w:color w:val="000000"/>
          <w:spacing w:val="-4"/>
          <w:sz w:val="28"/>
          <w:szCs w:val="28"/>
        </w:rPr>
        <w:t xml:space="preserve">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4 место − 10</w:t>
      </w:r>
      <w:r>
        <w:rPr>
          <w:color w:val="000000"/>
          <w:spacing w:val="-4"/>
          <w:sz w:val="28"/>
          <w:szCs w:val="28"/>
        </w:rPr>
        <w:t xml:space="preserve">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3) в соревнованиях</w:t>
      </w:r>
      <w:r>
        <w:rPr>
          <w:color w:val="000000"/>
          <w:spacing w:val="-4"/>
          <w:sz w:val="28"/>
          <w:szCs w:val="28"/>
        </w:rPr>
        <w:t xml:space="preserve"> с участием 12 и более лошадей: 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1 место − 50 %</w:t>
      </w:r>
      <w:r>
        <w:rPr>
          <w:color w:val="000000"/>
          <w:spacing w:val="-4"/>
          <w:sz w:val="28"/>
          <w:szCs w:val="28"/>
        </w:rPr>
        <w:t xml:space="preserve"> 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2 место</w:t>
      </w:r>
      <w:r>
        <w:rPr>
          <w:color w:val="000000"/>
          <w:spacing w:val="-4"/>
          <w:sz w:val="28"/>
          <w:szCs w:val="28"/>
        </w:rPr>
        <w:t xml:space="preserve"> − 25 </w:t>
      </w:r>
      <w:r>
        <w:rPr>
          <w:color w:val="000000"/>
          <w:spacing w:val="-4"/>
          <w:sz w:val="28"/>
          <w:szCs w:val="28"/>
        </w:rPr>
        <w:t xml:space="preserve">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3 место − 15 %;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4 место − 7 %;</w:t>
      </w:r>
    </w:p>
    <w:p>
      <w:pPr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 занятое 5 место − 3 </w:t>
      </w:r>
      <w:r>
        <w:rPr>
          <w:color w:val="000000"/>
          <w:spacing w:val="-4"/>
          <w:sz w:val="28"/>
          <w:szCs w:val="28"/>
        </w:rPr>
        <w:t xml:space="preserve">%.</w:t>
      </w:r>
    </w:p>
    <w:p>
      <w:pPr>
        <w:pStyle w:val="af1"/>
        <w:numPr>
          <w:numId w:val="12"/>
          <w:ilvl w:val="0"/>
        </w:numPr>
        <w:tabs>
          <w:tab w:val="clear" w:pos="1068"/>
        </w:tabs>
        <w:ind w:left="0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Финансирование призового фонда соревнований являются средств</w:t>
      </w:r>
      <w:r>
        <w:rPr>
          <w:spacing w:val="-4"/>
          <w:sz w:val="28"/>
          <w:szCs w:val="28"/>
        </w:rPr>
        <w:t xml:space="preserve">а бюджета Забайкальского края, </w:t>
      </w:r>
      <w:r>
        <w:rPr>
          <w:spacing w:val="-4"/>
          <w:sz w:val="28"/>
          <w:szCs w:val="28"/>
        </w:rPr>
        <w:t xml:space="preserve">предусмотренные на эти цели Министерству.</w:t>
      </w:r>
    </w:p>
    <w:p>
      <w:pPr>
        <w:pStyle w:val="af1"/>
        <w:numPr>
          <w:numId w:val="12"/>
          <w:ilvl w:val="0"/>
        </w:numPr>
        <w:tabs>
          <w:tab w:val="clear" w:pos="1068"/>
          <w:tab w:val="num" w:pos="0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Информация об итогах </w:t>
      </w:r>
      <w:r>
        <w:rPr>
          <w:color w:val="000000"/>
          <w:spacing w:val="-4"/>
          <w:sz w:val="28"/>
          <w:szCs w:val="28"/>
        </w:rPr>
        <w:t xml:space="preserve">соревнований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размещается на официальном сайте М</w:t>
      </w:r>
      <w:r>
        <w:rPr>
          <w:color w:val="000000"/>
          <w:spacing w:val="-4"/>
          <w:sz w:val="28"/>
          <w:szCs w:val="28"/>
        </w:rPr>
        <w:t xml:space="preserve">инистерства</w:t>
      </w:r>
      <w:r>
        <w:rPr>
          <w:color w:val="000000"/>
          <w:spacing w:val="-4"/>
          <w:sz w:val="28"/>
          <w:szCs w:val="28"/>
        </w:rPr>
        <w:t xml:space="preserve">.</w:t>
      </w:r>
    </w:p>
    <w:p>
      <w:pPr>
        <w:tabs>
          <w:tab w:val="num" w:pos="0"/>
        </w:tabs>
        <w:ind w:left="709"/>
        <w:jc w:val="both"/>
        <w:rPr>
          <w:color w:val="000000"/>
          <w:spacing w:val="-4"/>
          <w:sz w:val="28"/>
          <w:szCs w:val="28"/>
        </w:rPr>
      </w:pPr>
    </w:p>
    <w:p>
      <w:pPr>
        <w:tabs>
          <w:tab w:val="num" w:pos="0"/>
        </w:tabs>
        <w:ind w:left="709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________________</w:t>
      </w:r>
    </w:p>
    <w:p>
      <w:pPr>
        <w:tabs>
          <w:tab w:val="num" w:pos="0"/>
        </w:tabs>
        <w:ind w:left="709"/>
        <w:jc w:val="both"/>
        <w:rPr>
          <w:sz w:val="28"/>
          <w:szCs w:val="28"/>
        </w:rPr>
      </w:pPr>
    </w:p>
    <w:p>
      <w:pPr>
        <w:tabs>
          <w:tab w:val="num" w:pos="0"/>
        </w:tabs>
        <w:ind w:left="709"/>
        <w:jc w:val="both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</w:p>
    <w:p>
      <w:pPr>
        <w:spacing w:after="200"/>
        <w:ind w:firstLine="709"/>
        <w:jc w:val="both"/>
        <w:rPr>
          <w:sz w:val="28"/>
          <w:szCs w:val="28"/>
        </w:rPr>
        <w:sectPr>
          <w:headerReference w:type="default" r:id="rId9"/>
          <w:pgSz w:w="11909" w:h="16834"/>
          <w:pgMar w:top="1134" w:right="567" w:bottom="1134" w:left="1985" w:header="720" w:footer="720" w:gutter="0"/>
          <w:cols w:space="708"/>
          <w:docGrid w:linePitch="360"/>
          <w:titlePg/>
        </w:sect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10314"/>
        <w:gridCol w:w="4111"/>
      </w:tblGrid>
      <w:tr>
        <w:trPr>
          <w:trHeight w:val="1252"/>
        </w:trPr>
        <w:tc>
          <w:tcPr>
            <w:tcW w:w="10314" w:type="dxa"/>
          </w:tcPr>
          <w:p>
            <w:pPr>
              <w:widowControl w:val="off"/>
              <w:jc w:val="center"/>
            </w:pPr>
          </w:p>
        </w:tc>
        <w:tc>
          <w:tcPr>
            <w:tcW w:w="4111" w:type="dxa"/>
          </w:tcPr>
          <w:p>
            <w:pPr>
              <w:widowControl w:val="off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</w:p>
          <w:p>
            <w:pPr>
              <w:widowControl w:val="off"/>
              <w:ind w:left="-108"/>
              <w:jc w:val="center"/>
              <w:rPr>
                <w:bCs/>
              </w:rPr>
            </w:pPr>
            <w:r>
              <w:rPr>
                <w:sz w:val="28"/>
                <w:szCs w:val="28"/>
                <w:lang w:eastAsia="en-US"/>
              </w:rPr>
              <w:t xml:space="preserve">к </w:t>
            </w:r>
            <w:r>
              <w:rPr>
                <w:bCs/>
                <w:sz w:val="28"/>
                <w:szCs w:val="28"/>
              </w:rPr>
              <w:t xml:space="preserve">Положению </w:t>
            </w:r>
            <w:r>
              <w:rPr>
                <w:bCs/>
                <w:sz w:val="28"/>
                <w:szCs w:val="28"/>
              </w:rPr>
              <w:t xml:space="preserve">о ежегодных конноспортивных</w:t>
            </w:r>
            <w:r>
              <w:rPr>
                <w:bCs/>
                <w:sz w:val="28"/>
                <w:szCs w:val="28"/>
              </w:rPr>
              <w:t xml:space="preserve"> соревнованиях на Кубок Губернатора Забайкальского края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</w:t>
      </w:r>
    </w:p>
    <w:p>
      <w:pPr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</w:t>
      </w:r>
      <w:r>
        <w:rPr>
          <w:b/>
          <w:bCs/>
          <w:color w:val="000000"/>
          <w:sz w:val="28"/>
          <w:szCs w:val="28"/>
        </w:rPr>
        <w:t xml:space="preserve"> ежегодных конных соревнованиях на Кубок Губернатора Забайкальского края</w:t>
      </w:r>
    </w:p>
    <w:p>
      <w:pPr>
        <w:jc w:val="both"/>
      </w:pPr>
      <w:r>
        <w:t xml:space="preserve">1. Заявитель _____________________________________________________________________________________________</w:t>
      </w:r>
      <w:r>
        <w:t xml:space="preserve">________________________</w:t>
      </w:r>
    </w:p>
    <w:p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(организационно-правовая форма, наименование – для юридического лица, фамилия, имя, отчество </w:t>
      </w:r>
      <w:r>
        <w:rPr>
          <w:sz w:val="20"/>
          <w:szCs w:val="20"/>
        </w:rPr>
        <w:t xml:space="preserve">(при наличии) </w:t>
      </w:r>
      <w:r>
        <w:rPr>
          <w:sz w:val="20"/>
          <w:szCs w:val="20"/>
        </w:rPr>
        <w:t xml:space="preserve">– для физического лица)</w:t>
      </w:r>
    </w:p>
    <w:p>
      <w:pPr>
        <w:jc w:val="both"/>
        <w:outlineLvl w:val="1"/>
        <w:rPr>
          <w:color w:val="000000"/>
        </w:rPr>
      </w:pPr>
      <w:r>
        <w:rPr>
          <w:color w:val="000000"/>
        </w:rPr>
        <w:t xml:space="preserve">2. Должность, фамилия, имя, отчество</w:t>
      </w:r>
      <w:r>
        <w:rPr>
          <w:color w:val="000000"/>
        </w:rPr>
        <w:t xml:space="preserve"> (при наличии)</w:t>
      </w:r>
      <w:r>
        <w:rPr>
          <w:color w:val="000000"/>
        </w:rPr>
        <w:t xml:space="preserve"> руководителя − для юридического лица ____________________________________________</w:t>
      </w:r>
      <w:r>
        <w:rPr>
          <w:color w:val="000000"/>
        </w:rPr>
        <w:t xml:space="preserve">________________________________________________________________________</w:t>
      </w:r>
    </w:p>
    <w:p>
      <w:pPr>
        <w:jc w:val="both"/>
        <w:outlineLvl w:val="1"/>
        <w:rPr>
          <w:color w:val="000000"/>
        </w:rPr>
      </w:pPr>
      <w:r>
        <w:rPr>
          <w:color w:val="000000"/>
        </w:rPr>
        <w:t xml:space="preserve">3. Юридический и почтовый адрес – для юридического лица; место жительства – для физического лица __________________</w:t>
      </w:r>
      <w:r>
        <w:rPr>
          <w:color w:val="000000"/>
        </w:rPr>
        <w:t xml:space="preserve">_________________________________________</w:t>
      </w:r>
      <w:r>
        <w:rPr>
          <w:color w:val="000000"/>
        </w:rPr>
        <w:t xml:space="preserve">_________________________________________________________</w:t>
      </w:r>
    </w:p>
    <w:p>
      <w:pPr>
        <w:jc w:val="both"/>
      </w:pPr>
      <w:r>
        <w:t xml:space="preserve">4. Номер контактного телефона _________________________</w:t>
      </w:r>
      <w:r>
        <w:t xml:space="preserve">_____________</w:t>
      </w:r>
    </w:p>
    <w:p>
      <w:pPr>
        <w:rPr>
          <w:color w:val="000000"/>
        </w:rPr>
      </w:pPr>
      <w:r>
        <w:rPr>
          <w:color w:val="000000"/>
        </w:rPr>
        <w:t xml:space="preserve">5. Сведения о лошадях, з</w:t>
      </w:r>
      <w:r>
        <w:rPr>
          <w:color w:val="000000"/>
        </w:rPr>
        <w:t xml:space="preserve">аявляемых к участию в соревнованиях</w:t>
      </w:r>
    </w:p>
    <w:p>
      <w:pPr>
        <w:rPr>
          <w:color w:val="000000"/>
        </w:rPr>
      </w:pP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60"/>
        <w:gridCol w:w="1077"/>
        <w:gridCol w:w="1518"/>
        <w:gridCol w:w="961"/>
        <w:gridCol w:w="965"/>
        <w:gridCol w:w="1117"/>
        <w:gridCol w:w="1224"/>
        <w:gridCol w:w="3107"/>
        <w:gridCol w:w="1930"/>
        <w:gridCol w:w="1793"/>
      </w:tblGrid>
      <w:tr>
        <w:tc>
          <w:tcPr>
            <w:tcW w:w="2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</w:t>
            </w:r>
            <w:r>
              <w:rPr>
                <w:b/>
                <w:color w:val="000000"/>
              </w:rPr>
              <w:t xml:space="preserve">/п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Кличка лошади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Год и место рождения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Отец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Мать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Порода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Масть</w:t>
            </w:r>
          </w:p>
        </w:tc>
        <w:tc>
          <w:tcPr>
            <w:tcW w:w="3203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Документ, подтверждающий право распоряжаться лошадью на законных основаниях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Фамилия, имя, отчество (при наличии) жокея (наездника)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Цвет камзола жокея (наездника)</w:t>
            </w:r>
          </w:p>
        </w:tc>
      </w:tr>
      <w:tr>
        <w:trPr>
          <w:trHeight w:val="190"/>
        </w:trPr>
        <w:tc>
          <w:tcPr>
            <w:tcW w:w="28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54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98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98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1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320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97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8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</w:t>
            </w:r>
          </w:p>
        </w:tc>
      </w:tr>
      <w:tr>
        <w:trPr>
          <w:trHeight w:val="272"/>
        </w:trPr>
        <w:tc>
          <w:tcPr>
            <w:tcW w:w="28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c>
          <w:tcPr>
            <w:tcW w:w="28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</w:p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</w:tcPr>
          <w:p>
            <w:pPr>
              <w:rPr>
                <w:color w:val="000000"/>
              </w:rPr>
            </w:pPr>
          </w:p>
        </w:tc>
      </w:tr>
      <w:tr>
        <w:tc>
          <w:tcPr>
            <w:tcW w:w="28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</w:p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Достоверность представленных сведений подтверждаю.</w:t>
      </w:r>
    </w:p>
    <w:p>
      <w:pPr>
        <w:rPr>
          <w:color w:val="000000"/>
        </w:rPr>
      </w:pPr>
      <w:r>
        <w:rPr>
          <w:color w:val="000000"/>
        </w:rPr>
        <w:t xml:space="preserve">Заявитель </w:t>
      </w:r>
      <w:r>
        <w:rPr>
          <w:color w:val="000000"/>
        </w:rPr>
        <w:t xml:space="preserve">______________________</w:t>
      </w:r>
      <w:r>
        <w:rPr>
          <w:color w:val="000000"/>
        </w:rPr>
        <w:tab/>
        <w:t xml:space="preserve">_____________________________________</w:t>
      </w:r>
      <w:r>
        <w:rPr>
          <w:color w:val="000000"/>
        </w:rPr>
        <w:tab/>
      </w:r>
      <w:r>
        <w:rPr>
          <w:color w:val="000000"/>
        </w:rPr>
        <w:tab/>
        <w:t xml:space="preserve">____________________</w:t>
      </w:r>
    </w:p>
    <w:p>
      <w:pPr>
        <w:ind w:left="141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(расшифровка подписи)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(д</w:t>
      </w:r>
      <w:r>
        <w:rPr>
          <w:color w:val="000000"/>
          <w:sz w:val="20"/>
          <w:szCs w:val="20"/>
        </w:rPr>
        <w:t xml:space="preserve">ата)</w:t>
      </w:r>
    </w:p>
    <w:p>
      <w:pPr>
        <w:rPr>
          <w:color w:val="000000"/>
          <w:sz w:val="20"/>
          <w:szCs w:val="20"/>
        </w:rPr>
      </w:pP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</w:t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pgSz w:w="16838" w:h="11906" w:orient="landscape"/>
      <w:pgMar w:top="993" w:right="1134" w:bottom="567" w:left="1560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</w:p>
  <w:p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225727052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 w:tplc="28F492A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entative="1" w:tplc="04190019">
      <w:start w:val="1"/>
      <w:numFmt w:val="lowerLetter"/>
      <w:lvlText w:val="%2."/>
      <w:lvlJc w:val="left"/>
      <w:pPr>
        <w:ind w:left="2148" w:hanging="360"/>
      </w:pPr>
    </w:lvl>
    <w:lvl w:ilvl="2" w:tentative="1" w:tplc="0419001B">
      <w:start w:val="1"/>
      <w:numFmt w:val="lowerRoman"/>
      <w:lvlText w:val="%3."/>
      <w:lvlJc w:val="right"/>
      <w:pPr>
        <w:ind w:left="2868" w:hanging="180"/>
      </w:pPr>
    </w:lvl>
    <w:lvl w:ilvl="3" w:tentative="1" w:tplc="0419000F">
      <w:start w:val="1"/>
      <w:numFmt w:val="decimal"/>
      <w:lvlText w:val="%4."/>
      <w:lvlJc w:val="left"/>
      <w:pPr>
        <w:ind w:left="3588" w:hanging="360"/>
      </w:pPr>
    </w:lvl>
    <w:lvl w:ilvl="4" w:tentative="1" w:tplc="04190019">
      <w:start w:val="1"/>
      <w:numFmt w:val="lowerLetter"/>
      <w:lvlText w:val="%5."/>
      <w:lvlJc w:val="left"/>
      <w:pPr>
        <w:ind w:left="4308" w:hanging="360"/>
      </w:pPr>
    </w:lvl>
    <w:lvl w:ilvl="5" w:tentative="1" w:tplc="0419001B">
      <w:start w:val="1"/>
      <w:numFmt w:val="lowerRoman"/>
      <w:lvlText w:val="%6."/>
      <w:lvlJc w:val="right"/>
      <w:pPr>
        <w:ind w:left="5028" w:hanging="180"/>
      </w:pPr>
    </w:lvl>
    <w:lvl w:ilvl="6" w:tentative="1" w:tplc="0419000F">
      <w:start w:val="1"/>
      <w:numFmt w:val="decimal"/>
      <w:lvlText w:val="%7."/>
      <w:lvlJc w:val="left"/>
      <w:pPr>
        <w:ind w:left="5748" w:hanging="360"/>
      </w:pPr>
    </w:lvl>
    <w:lvl w:ilvl="7" w:tentative="1" w:tplc="04190019">
      <w:start w:val="1"/>
      <w:numFmt w:val="lowerLetter"/>
      <w:lvlText w:val="%8."/>
      <w:lvlJc w:val="left"/>
      <w:pPr>
        <w:ind w:left="6468" w:hanging="360"/>
      </w:pPr>
    </w:lvl>
    <w:lvl w:ilvl="8" w:tentative="1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 w:tplc="EC6C6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multiLevelType w:val="hybridMultilevel"/>
    <w:lvl w:ilvl="0" w:tplc="6586306E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multiLevelType w:val="hybridMultilevel"/>
    <w:lvl w:ilvl="0" w:tplc="35FC7EA4">
      <w:start w:val="1"/>
      <w:numFmt w:val="decimal"/>
      <w:lvlText w:val="%1."/>
      <w:lvlJc w:val="left"/>
      <w:pPr>
        <w:ind w:left="1431" w:hanging="1005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multiLevelType w:val="hybridMultilevel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entative="1" w:tplc="04190019">
      <w:start w:val="1"/>
      <w:numFmt w:val="lowerLetter"/>
      <w:lvlText w:val="%2."/>
      <w:lvlJc w:val="left"/>
      <w:pPr>
        <w:ind w:left="2148" w:hanging="360"/>
      </w:pPr>
    </w:lvl>
    <w:lvl w:ilvl="2" w:tentative="1" w:tplc="0419001B">
      <w:start w:val="1"/>
      <w:numFmt w:val="lowerRoman"/>
      <w:lvlText w:val="%3."/>
      <w:lvlJc w:val="right"/>
      <w:pPr>
        <w:ind w:left="2868" w:hanging="180"/>
      </w:pPr>
    </w:lvl>
    <w:lvl w:ilvl="3" w:tentative="1" w:tplc="0419000F">
      <w:start w:val="1"/>
      <w:numFmt w:val="decimal"/>
      <w:lvlText w:val="%4."/>
      <w:lvlJc w:val="left"/>
      <w:pPr>
        <w:ind w:left="3588" w:hanging="360"/>
      </w:pPr>
    </w:lvl>
    <w:lvl w:ilvl="4" w:tentative="1" w:tplc="04190019">
      <w:start w:val="1"/>
      <w:numFmt w:val="lowerLetter"/>
      <w:lvlText w:val="%5."/>
      <w:lvlJc w:val="left"/>
      <w:pPr>
        <w:ind w:left="4308" w:hanging="360"/>
      </w:pPr>
    </w:lvl>
    <w:lvl w:ilvl="5" w:tentative="1" w:tplc="0419001B">
      <w:start w:val="1"/>
      <w:numFmt w:val="lowerRoman"/>
      <w:lvlText w:val="%6."/>
      <w:lvlJc w:val="right"/>
      <w:pPr>
        <w:ind w:left="5028" w:hanging="180"/>
      </w:pPr>
    </w:lvl>
    <w:lvl w:ilvl="6" w:tentative="1" w:tplc="0419000F">
      <w:start w:val="1"/>
      <w:numFmt w:val="decimal"/>
      <w:lvlText w:val="%7."/>
      <w:lvlJc w:val="left"/>
      <w:pPr>
        <w:ind w:left="5748" w:hanging="360"/>
      </w:pPr>
    </w:lvl>
    <w:lvl w:ilvl="7" w:tentative="1" w:tplc="04190019">
      <w:start w:val="1"/>
      <w:numFmt w:val="lowerLetter"/>
      <w:lvlText w:val="%8."/>
      <w:lvlJc w:val="left"/>
      <w:pPr>
        <w:ind w:left="6468" w:hanging="360"/>
      </w:pPr>
    </w:lvl>
    <w:lvl w:ilvl="8" w:tentative="1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 w:tplc="EC6C6A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6586306E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5">
    <w:multiLevelType w:val="hybridMultilevel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multiLevelType w:val="hybridMultilevel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5"/>
  </w:num>
  <w:num w:numId="5">
    <w:abstractNumId w:val="14"/>
  </w:num>
  <w:num w:numId="6">
    <w:abstractNumId w:val="13"/>
  </w:num>
  <w:num w:numId="7">
    <w:abstractNumId w:val="8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0"/>
  </w:num>
  <w:num w:numId="19">
    <w:abstractNumId w:val="1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 w:val="off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locked/>
    <w:rPr>
      <w:rFonts w:ascii="Arial" w:hAnsi="Arial" w:cs="Times New Roman"/>
      <w:b/>
      <w:color w:val="26282f"/>
      <w:sz w:val="24"/>
    </w:rPr>
  </w:style>
  <w:style w:type="paragraph" w:styleId="2" w:customStyle="1">
    <w:name w:val="Знак Знак 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locked/>
    <w:rPr>
      <w:rFonts w:cs="Times New Roman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locked/>
    <w:rPr>
      <w:rFonts w:ascii="Tahoma" w:hAnsi="Tahoma" w:cs="Times New Roman"/>
      <w:sz w:val="16"/>
      <w:lang w:val="ru-RU" w:eastAsia="ru-RU"/>
    </w:rPr>
  </w:style>
  <w:style w:type="paragraph" w:styleId="a7">
    <w:name w:val="footer"/>
    <w:basedOn w:val="a"/>
    <w:link w:val="a8"/>
    <w:uiPriority w:val="99"/>
    <w:pPr>
      <w:widowControl w:val="off"/>
      <w:tabs>
        <w:tab w:val="center" w:pos="4677"/>
        <w:tab w:val="right" w:pos="9355"/>
      </w:tabs>
      <w:spacing w:line="259" w:lineRule="auto"/>
      <w:ind w:firstLine="340"/>
      <w:jc w:val="both"/>
    </w:pPr>
    <w:rPr>
      <w:rFonts w:ascii="Calibri" w:hAnsi="Calibri" w:cs="Calibri"/>
      <w:sz w:val="18"/>
      <w:szCs w:val="18"/>
    </w:rPr>
  </w:style>
  <w:style w:type="character" w:styleId="a8" w:customStyle="1">
    <w:name w:val="Нижний колонтитул Знак"/>
    <w:basedOn w:val="a0"/>
    <w:link w:val="a7"/>
    <w:uiPriority w:val="99"/>
    <w:semiHidden/>
    <w:locked/>
    <w:rPr>
      <w:rFonts w:ascii="Calibri" w:hAnsi="Calibri" w:cs="Times New Roman"/>
      <w:sz w:val="18"/>
      <w:lang w:val="ru-RU" w:eastAsia="ru-RU"/>
    </w:rPr>
  </w:style>
  <w:style w:type="paragraph" w:styleId="20">
    <w:name w:val="Body Text Indent 2"/>
    <w:aliases w:val="Знак1"/>
    <w:basedOn w:val="a"/>
    <w:link w:val="21"/>
    <w:uiPriority w:val="99"/>
    <w:pPr>
      <w:spacing w:after="120" w:line="480" w:lineRule="auto"/>
      <w:ind w:left="283"/>
    </w:pPr>
  </w:style>
  <w:style w:type="character" w:styleId="21" w:customStyle="1">
    <w:name w:val="Основной текст с отступом 2 Знак"/>
    <w:aliases w:val="Знак1 Знак"/>
    <w:basedOn w:val="a0"/>
    <w:link w:val="20"/>
    <w:uiPriority w:val="99"/>
    <w:semiHidden/>
    <w:locked/>
    <w:rPr>
      <w:rFonts w:cs="Times New Roman"/>
      <w:sz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 w:customStyle="1">
    <w:name w:val="Схема документа Знак"/>
    <w:basedOn w:val="a0"/>
    <w:link w:val="a9"/>
    <w:uiPriority w:val="99"/>
    <w:semiHidden/>
    <w:locked/>
    <w:rPr>
      <w:rFonts w:ascii="Tahoma" w:hAnsi="Tahoma" w:cs="Times New Roman"/>
      <w:lang w:val="ru-RU" w:eastAsia="ru-RU"/>
    </w:rPr>
  </w:style>
  <w:style w:type="paragraph" w:styleId="31" w:customStyle="1">
    <w:name w:val="заголовок 3"/>
    <w:basedOn w:val="a"/>
    <w:next w:val="a"/>
    <w:pPr>
      <w:keepNext/>
      <w:outlineLvl w:val="2"/>
    </w:pPr>
    <w:rPr>
      <w:rFonts w:ascii="Calibri" w:hAnsi="Calibri" w:cs="Calibri"/>
    </w:rPr>
  </w:style>
  <w:style w:type="paragraph" w:styleId="ConsNormal" w:customStyle="1">
    <w:name w:val="ConsNormal"/>
    <w:uiPriority w:val="99"/>
    <w:pPr>
      <w:widowControl w:val="off"/>
      <w:ind w:right="19772" w:firstLine="720"/>
    </w:pPr>
    <w:rPr>
      <w:rFonts w:ascii="Arial" w:hAnsi="Arial" w:cs="Arial"/>
    </w:rPr>
  </w:style>
  <w:style w:type="paragraph" w:styleId="ab">
    <w:name w:val="Block Text"/>
    <w:basedOn w:val="a"/>
    <w:uiPriority w:val="99"/>
    <w:pPr>
      <w:widowControl w:val="off"/>
      <w:spacing w:line="260" w:lineRule="auto"/>
      <w:ind w:left="1560" w:right="1000"/>
      <w:jc w:val="center"/>
    </w:pPr>
    <w:rPr>
      <w:rFonts w:ascii="Calibri" w:hAnsi="Calibri" w:cs="Calibri"/>
      <w:sz w:val="28"/>
      <w:szCs w:val="28"/>
    </w:rPr>
  </w:style>
  <w:style w:type="paragraph" w:styleId="ConsPlusCell" w:customStyle="1">
    <w:name w:val="ConsPlusCell"/>
    <w:rPr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ad" w:customStyle="1">
    <w:name w:val="Гипертекстовая ссылка"/>
    <w:uiPriority w:val="99"/>
    <w:rPr>
      <w:color w:val="106bbe"/>
    </w:rPr>
  </w:style>
  <w:style w:type="paragraph" w:styleId="ae" w:customStyle="1">
    <w:name w:val="Комментарий"/>
    <w:basedOn w:val="a"/>
    <w:next w:val="a"/>
    <w:uiPriority w:val="99"/>
    <w:pPr>
      <w:widowControl w:val="off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styleId="af" w:customStyle="1">
    <w:name w:val="Информация об изменениях документа"/>
    <w:basedOn w:val="ae"/>
    <w:next w:val="a"/>
    <w:uiPriority w:val="99"/>
    <w:rPr>
      <w:i/>
      <w:iCs/>
    </w:rPr>
  </w:style>
  <w:style w:type="character" w:styleId="22" w:customStyle="1">
    <w:name w:val="Знак Знак2"/>
    <w:locked/>
    <w:rPr>
      <w:sz w:val="24"/>
      <w:lang w:val="ru-RU" w:eastAsia="ru-RU"/>
    </w:rPr>
  </w:style>
  <w:style w:type="table" w:styleId="a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" w:customStyle="1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11" w:customStyle="1">
    <w:name w:val="Сетка таблицы1"/>
    <w:basedOn w:val="a1"/>
    <w:next w:val="af0"/>
    <w:uiPriority w:val="5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f2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3" w:customStyle="1">
    <w:name w:val="Нормальный (таблица)"/>
    <w:basedOn w:val="a"/>
    <w:next w:val="a"/>
    <w:uiPriority w:val="99"/>
    <w:pPr>
      <w:widowControl w:val="off"/>
      <w:jc w:val="both"/>
    </w:pPr>
    <w:rPr>
      <w:rFonts w:ascii="Arial" w:hAnsi="Arial" w:cs="Arial"/>
    </w:rPr>
  </w:style>
  <w:style w:type="paragraph" w:styleId="af4" w:customStyle="1">
    <w:name w:val="Таблицы (моноширинный)"/>
    <w:basedOn w:val="a"/>
    <w:next w:val="a"/>
    <w:uiPriority w:val="99"/>
    <w:pPr>
      <w:widowControl w:val="off"/>
    </w:pPr>
    <w:rPr>
      <w:rFonts w:ascii="Courier New" w:hAnsi="Courier New" w:cs="Courier New"/>
    </w:rPr>
  </w:style>
  <w:style w:type="paragraph" w:styleId="af5" w:customStyle="1">
    <w:name w:val="Прижатый влево"/>
    <w:basedOn w:val="a"/>
    <w:next w:val="a"/>
    <w:uiPriority w:val="99"/>
    <w:pPr>
      <w:widowControl w:val="off"/>
    </w:pPr>
    <w:rPr>
      <w:rFonts w:ascii="Arial" w:hAnsi="Arial" w:cs="Arial"/>
    </w:rPr>
  </w:style>
  <w:style w:type="character" w:styleId="af6" w:customStyle="1">
    <w:name w:val="Цветовое выделение"/>
    <w:uiPriority w:val="99"/>
    <w:rPr>
      <w:b/>
      <w:color w:val="26282f"/>
    </w:rPr>
  </w:style>
  <w:style w:type="paragraph" w:styleId="ConsPlusNormal" w:customStyle="1">
    <w:name w:val="ConsPlusNormal"/>
    <w:uiPriority w:val="99"/>
    <w:rPr>
      <w:rFonts w:ascii="Arial" w:hAnsi="Arial" w:cs="Arial"/>
    </w:rPr>
  </w:style>
  <w:style w:type="character" w:styleId="af7" w:customStyle="1">
    <w:name w:val="Утратил силу"/>
    <w:uiPriority w:val="99"/>
    <w:rPr>
      <w:rFonts w:cs="Times New Roman"/>
      <w:b/>
      <w:strike/>
      <w:color w:val="666600"/>
    </w:rPr>
  </w:style>
  <w:style w:type="character" w:styleId="af8" w:customStyle="1">
    <w:name w:val="Основной текст_"/>
    <w:link w:val="23"/>
    <w:locked/>
    <w:rPr>
      <w:sz w:val="27"/>
      <w:shd w:val="clear" w:color="auto" w:fill="ffffff"/>
    </w:rPr>
  </w:style>
  <w:style w:type="paragraph" w:styleId="23" w:customStyle="1">
    <w:name w:val="Основной текст2"/>
    <w:basedOn w:val="a"/>
    <w:link w:val="af8"/>
    <w:pPr>
      <w:shd w:val="clear" w:color="auto" w:fill="ffffff"/>
      <w:spacing w:before="720" w:after="300" w:line="368" w:lineRule="exact"/>
      <w:jc w:val="both"/>
    </w:pPr>
    <w:rPr>
      <w:sz w:val="27"/>
      <w:szCs w:val="20"/>
    </w:rPr>
  </w:style>
  <w:style w:type="character" w:styleId="af9">
    <w:name w:val="annotation reference"/>
    <w:basedOn w:val="a0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styleId="afb" w:customStyle="1">
    <w:name w:val="Текст примечания Знак"/>
    <w:basedOn w:val="a0"/>
    <w:link w:val="afa"/>
    <w:semiHidden/>
  </w:style>
  <w:style w:type="paragraph" w:styleId="afc">
    <w:name w:val="annotation subject"/>
    <w:basedOn w:val="afa"/>
    <w:next w:val="afa"/>
    <w:link w:val="afd"/>
    <w:semiHidden/>
    <w:unhideWhenUsed/>
    <w:rPr>
      <w:b/>
      <w:bCs/>
    </w:rPr>
  </w:style>
  <w:style w:type="character" w:styleId="afd" w:customStyle="1">
    <w:name w:val="Тема примечания Знак"/>
    <w:basedOn w:val="afb"/>
    <w:link w:val="afc"/>
    <w:semiHidden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30" w:customStyle="1">
    <w:name w:val="Заголовок 3 Знак"/>
    <w:basedOn w:val="a0"/>
    <w:link w:val="3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68F16-E089-4623-908B-BA6E4FBE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6193</Characters>
  <CharactersWithSpaces>7265</CharactersWithSpaces>
  <Company/>
  <DocSecurity>0</DocSecurity>
  <HyperlinksChanged>false</HyperlinksChanged>
  <Lines>51</Lines>
  <LinksUpToDate>false</LinksUpToDate>
  <Pages>1</Pages>
  <Paragraphs>14</Paragraphs>
  <ScaleCrop>false</ScaleCrop>
  <SharedDoc>false</SharedDoc>
  <Template>Normal</Template>
  <TotalTime>543</TotalTime>
  <Words>1086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Golysheva</dc:creator>
  <cp:lastModifiedBy>Елена Юрьевна Глазихина</cp:lastModifiedBy>
  <cp:revision>30</cp:revision>
  <cp:lastPrinted>2025-03-13T06:30:00Z</cp:lastPrinted>
  <dcterms:created xsi:type="dcterms:W3CDTF">2025-03-28T07:24:00Z</dcterms:created>
  <dcterms:modified xsi:type="dcterms:W3CDTF">2025-04-21T05:44:00Z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-678393601</vt:i4>
  </property>
</Properties>
</file>