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5338" cy="89052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95338" cy="89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63pt;height:70.1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3"/>
          <w:szCs w:val="33"/>
        </w:rPr>
        <w:t xml:space="preserve">ПРАВИТЕЛЬСТВО ЗАБАЙКАЛЬСКОГО КРАЯ</w:t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4"/>
          <w:sz w:val="35"/>
          <w:szCs w:val="35"/>
        </w:rPr>
        <w:t xml:space="preserve">ПОСТАНОВЛЕНИЕ</w:t>
      </w:r>
      <w:r>
        <w:rPr>
          <w:rFonts w:ascii="Times New Roman" w:hAnsi="Times New Roman" w:cs="Times New Roman"/>
          <w:spacing w:val="-14"/>
          <w:sz w:val="24"/>
          <w:szCs w:val="24"/>
        </w:rPr>
      </w:r>
      <w:r>
        <w:rPr>
          <w:rFonts w:ascii="Times New Roman" w:hAnsi="Times New Roman" w:cs="Times New Roman"/>
          <w:spacing w:val="-14"/>
          <w:sz w:val="24"/>
          <w:szCs w:val="24"/>
        </w:rPr>
      </w:r>
    </w:p>
    <w:p>
      <w:pPr>
        <w:pStyle w:val="940"/>
        <w:shd w:val="clear" w:color="auto" w:fill="ffffff"/>
        <w:ind w:firstLine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</w:r>
      <w:r>
        <w:rPr>
          <w:rFonts w:ascii="Times New Roman CYR" w:hAnsi="Times New Roman CYR" w:cs="Times New Roman CYR"/>
          <w:sz w:val="16"/>
          <w:szCs w:val="16"/>
        </w:rPr>
      </w:r>
      <w:r>
        <w:rPr>
          <w:rFonts w:ascii="Times New Roman CYR" w:hAnsi="Times New Roman CYR" w:cs="Times New Roman CYR"/>
          <w:sz w:val="16"/>
          <w:szCs w:val="16"/>
        </w:rPr>
      </w:r>
    </w:p>
    <w:p>
      <w:pPr>
        <w:pStyle w:val="940"/>
        <w:shd w:val="clear" w:color="auto" w:fill="ffffff"/>
        <w:ind w:firstLine="0"/>
        <w:jc w:val="center"/>
        <w:rPr>
          <w:rFonts w:ascii="Times New Roman" w:hAnsi="Times New Roman" w:cs="Times New Roman"/>
          <w:spacing w:val="-14"/>
          <w:sz w:val="6"/>
          <w:szCs w:val="6"/>
        </w:rPr>
      </w:pPr>
      <w:r>
        <w:rPr>
          <w:rFonts w:ascii="Times New Roman" w:hAnsi="Times New Roman" w:eastAsia="Times New Roman" w:cs="Times New Roman"/>
          <w:spacing w:val="-6"/>
          <w:sz w:val="35"/>
          <w:szCs w:val="35"/>
        </w:rPr>
        <w:t xml:space="preserve">г. Чита</w:t>
      </w:r>
      <w:r>
        <w:rPr>
          <w:rFonts w:ascii="Times New Roman" w:hAnsi="Times New Roman" w:cs="Times New Roman"/>
          <w:spacing w:val="-14"/>
          <w:sz w:val="6"/>
          <w:szCs w:val="6"/>
        </w:rPr>
      </w:r>
      <w:r>
        <w:rPr>
          <w:rFonts w:ascii="Times New Roman" w:hAnsi="Times New Roman" w:cs="Times New Roman"/>
          <w:spacing w:val="-14"/>
          <w:sz w:val="6"/>
          <w:szCs w:val="6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40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бюджетных ассигнованиях, направляемых на финансовое обеспечение отдельных мероприятий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региональной программы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Забайкальского края «Модернизация систем коммунальной инфраструктуры (2023-2027 годы)»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2025 году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pStyle w:val="94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пунктом</w:t>
      </w:r>
      <w:r>
        <w:rPr>
          <w:rFonts w:ascii="Times New Roman" w:hAnsi="Times New Roman"/>
          <w:sz w:val="28"/>
          <w:szCs w:val="28"/>
        </w:rPr>
        <w:t xml:space="preserve"> 4 статьи</w:t>
      </w:r>
      <w:r>
        <w:rPr>
          <w:rFonts w:ascii="Times New Roman" w:hAnsi="Times New Roman"/>
          <w:sz w:val="28"/>
          <w:szCs w:val="28"/>
        </w:rPr>
        <w:t xml:space="preserve"> 139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частью 9 статьи 15 Федерального закона </w:t>
        <w:br/>
        <w:t xml:space="preserve">от 29 октября 2024 года № 367-ФЗ «О внесении изменений в отдельные законодательные акты Российской Федерации, приостановлении действия от</w:t>
      </w:r>
      <w:r>
        <w:rPr>
          <w:rFonts w:ascii="Times New Roman" w:hAnsi="Times New Roman"/>
          <w:sz w:val="28"/>
          <w:szCs w:val="28"/>
        </w:rPr>
        <w:t xml:space="preserve">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реализации региональной программы Забайкальского края «Модернизац</w:t>
      </w:r>
      <w:r>
        <w:rPr>
          <w:rFonts w:ascii="Times New Roman" w:hAnsi="Times New Roman"/>
          <w:sz w:val="28"/>
          <w:szCs w:val="28"/>
        </w:rPr>
        <w:t xml:space="preserve">ия систем коммунальной инфраструктуры (2023-2027 годы)», утвержденной постановлением Правительства Забайкальского края от 7 июля 2023 года № 349, </w:t>
      </w:r>
      <w:r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постановляет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numPr>
          <w:numId w:val="43"/>
          <w:ilvl w:val="0"/>
        </w:num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финансовое обеспечение реализации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Забайкальского края «Модернизац</w:t>
      </w:r>
      <w:r>
        <w:rPr>
          <w:rFonts w:ascii="Times New Roman" w:hAnsi="Times New Roman"/>
          <w:sz w:val="28"/>
          <w:szCs w:val="28"/>
        </w:rPr>
        <w:t xml:space="preserve">ия систем коммунальной инфраструктуры (2023-2027 годы)»</w:t>
      </w:r>
      <w:r>
        <w:rPr>
          <w:rFonts w:ascii="Times New Roman" w:hAnsi="Times New Roman"/>
          <w:sz w:val="28"/>
          <w:szCs w:val="28"/>
        </w:rPr>
        <w:t xml:space="preserve"> целью </w:t>
      </w:r>
      <w:r>
        <w:rPr>
          <w:rFonts w:ascii="Times New Roman" w:hAnsi="Times New Roman"/>
          <w:sz w:val="28"/>
          <w:szCs w:val="28"/>
        </w:rPr>
        <w:t xml:space="preserve">пере</w:t>
      </w:r>
      <w:r>
        <w:rPr>
          <w:rFonts w:ascii="Times New Roman" w:hAnsi="Times New Roman"/>
          <w:sz w:val="28"/>
          <w:szCs w:val="28"/>
        </w:rPr>
        <w:t xml:space="preserve">распределени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бюджетных ассигнований.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numId w:val="43"/>
          <w:ilvl w:val="0"/>
        </w:num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величить доходы бюджета Забайкальского края </w:t>
      </w:r>
      <w:r>
        <w:rPr>
          <w:rFonts w:ascii="Times New Roman" w:hAnsi="Times New Roman"/>
          <w:sz w:val="28"/>
          <w:szCs w:val="28"/>
        </w:rPr>
        <w:t xml:space="preserve">в 2025 году </w:t>
      </w:r>
      <w:r>
        <w:rPr>
          <w:rFonts w:ascii="Times New Roman" w:hAnsi="Times New Roman"/>
          <w:sz w:val="28"/>
          <w:szCs w:val="28"/>
        </w:rPr>
        <w:t xml:space="preserve">за счет субсидии, предоста</w:t>
      </w:r>
      <w:r>
        <w:rPr>
          <w:rFonts w:ascii="Times New Roman" w:hAnsi="Times New Roman"/>
          <w:sz w:val="28"/>
          <w:szCs w:val="28"/>
        </w:rPr>
        <w:t xml:space="preserve">вляемой из федерального бюджета </w:t>
      </w:r>
      <w:r>
        <w:rPr>
          <w:rFonts w:ascii="Times New Roman" w:hAnsi="Times New Roman"/>
          <w:sz w:val="28"/>
          <w:szCs w:val="28"/>
        </w:rPr>
        <w:t xml:space="preserve">бюджет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sz w:val="28"/>
          <w:szCs w:val="28"/>
        </w:rPr>
        <w:t xml:space="preserve">согласно дополнительному соглашению</w:t>
      </w:r>
      <w:r>
        <w:rPr>
          <w:rFonts w:ascii="Times New Roman" w:hAnsi="Times New Roman"/>
          <w:sz w:val="28"/>
          <w:szCs w:val="28"/>
          <w:highlight w:val="none"/>
        </w:rPr>
        <w:t xml:space="preserve"> от 05.02.2025 года №1 к договору от 24.06.2024 года № </w:t>
      </w:r>
      <w:r>
        <w:rPr>
          <w:rFonts w:ascii="Times New Roman" w:hAnsi="Times New Roman"/>
          <w:sz w:val="28"/>
          <w:szCs w:val="28"/>
          <w:highlight w:val="none"/>
        </w:rPr>
        <w:t xml:space="preserve">60/МКИ о предоставлении финансовой поддержки за счет средств публично-правовой компании «Фонд развития территорий» на модернизацию систем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, в сумме </w:t>
      </w:r>
      <w:r>
        <w:rPr>
          <w:rFonts w:ascii="Times New Roman" w:hAnsi="Times New Roman"/>
          <w:sz w:val="28"/>
          <w:szCs w:val="28"/>
        </w:rPr>
        <w:t xml:space="preserve">426 099 631</w:t>
      </w:r>
      <w:r>
        <w:rPr>
          <w:rFonts w:ascii="Times New Roman" w:hAnsi="Times New Roman"/>
          <w:sz w:val="28"/>
          <w:szCs w:val="28"/>
        </w:rPr>
        <w:t xml:space="preserve"> (четыреста двадцать шесть миллионов девяносто девять тысяч шестьсот тридцать один) рубль 74 копейки. </w:t>
      </w:r>
      <w:r>
        <w:rPr>
          <w:rFonts w:ascii="Times New Roman" w:hAnsi="Times New Roman"/>
          <w:sz w:val="28"/>
          <w:szCs w:val="28"/>
        </w:rPr>
      </w:r>
    </w:p>
    <w:p>
      <w:pPr>
        <w:numPr>
          <w:numId w:val="43"/>
          <w:ilvl w:val="0"/>
        </w:numPr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2025 год и плановый период 2026 и 2027 г</w:t>
      </w:r>
      <w:r>
        <w:rPr>
          <w:rFonts w:ascii="Times New Roman" w:hAnsi="Times New Roman"/>
          <w:color w:val="auto"/>
          <w:sz w:val="28"/>
          <w:szCs w:val="28"/>
        </w:rPr>
        <w:t xml:space="preserve">одов в части перераспределения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бюджетных ассигнований в сум</w:t>
      </w:r>
      <w:r>
        <w:rPr>
          <w:rFonts w:ascii="Times New Roman" w:hAnsi="Times New Roman"/>
          <w:color w:val="auto"/>
          <w:sz w:val="28"/>
          <w:szCs w:val="28"/>
        </w:rPr>
        <w:t xml:space="preserve">ме</w:t>
      </w:r>
      <w:r>
        <w:rPr>
          <w:rFonts w:ascii="Times New Roman" w:hAnsi="Times New Roman"/>
          <w:color w:val="auto"/>
          <w:sz w:val="28"/>
          <w:szCs w:val="28"/>
        </w:rPr>
        <w:t xml:space="preserve"> 616 631 159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 xml:space="preserve">шестьсот шестнадцать миллионов шестьсот тридцать одна тысяча сто пятьдесят девять</w:t>
      </w:r>
      <w:r>
        <w:rPr>
          <w:rFonts w:ascii="Times New Roman" w:hAnsi="Times New Roman"/>
          <w:color w:val="auto"/>
          <w:sz w:val="28"/>
          <w:szCs w:val="28"/>
        </w:rPr>
        <w:t xml:space="preserve">) рублей</w:t>
      </w:r>
      <w:r>
        <w:rPr>
          <w:rFonts w:ascii="Times New Roman" w:hAnsi="Times New Roman"/>
          <w:color w:val="auto"/>
          <w:sz w:val="28"/>
          <w:szCs w:val="28"/>
        </w:rPr>
        <w:t xml:space="preserve"> 63 копейки</w:t>
      </w:r>
      <w:r>
        <w:rPr>
          <w:rFonts w:ascii="Times New Roman" w:hAnsi="Times New Roman"/>
          <w:color w:val="auto"/>
          <w:sz w:val="28"/>
          <w:szCs w:val="28"/>
        </w:rPr>
        <w:t xml:space="preserve"> согласно приложению № 1 к настоящему постановлению.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numPr>
          <w:numId w:val="43"/>
          <w:ilvl w:val="0"/>
        </w:numPr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Распределить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в 2025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году субсидию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из бюджета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Забайкальского края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бюджета</w:t>
      </w:r>
      <w:r>
        <w:rPr>
          <w:rFonts w:ascii="Times New Roman" w:hAnsi="Times New Roman"/>
          <w:sz w:val="28"/>
          <w:szCs w:val="28"/>
        </w:rPr>
        <w:t xml:space="preserve">м муниципальных районов, муниципальных и городских округов Забайкальского края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реализацию мероприятий по модернизации, строительству, реконструкции и капитальному ремонту систем коммунальной инфраструктуры в рамках региональной программы Забайкальского края «Модернизация систем коммунальной инфраструктуры (2023-2027 годы)», утвер</w:t>
      </w:r>
      <w:r>
        <w:rPr>
          <w:rFonts w:ascii="Times New Roman" w:hAnsi="Times New Roman"/>
          <w:sz w:val="28"/>
          <w:szCs w:val="28"/>
        </w:rPr>
        <w:t xml:space="preserve">жденной постановлением Правительства Забайкальского края от 7 июля 2023 года № </w:t>
      </w:r>
      <w:r>
        <w:rPr>
          <w:rFonts w:ascii="Times New Roman" w:hAnsi="Times New Roman"/>
          <w:sz w:val="28"/>
          <w:szCs w:val="28"/>
          <w:highlight w:val="none"/>
        </w:rPr>
        <w:t xml:space="preserve">349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сумме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616 631 159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 xml:space="preserve">шестьсот шестнадцать миллионов шестьсот тридцать одна тысяча сто пятьдесят девять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 рублей</w:t>
      </w:r>
      <w:r>
        <w:rPr>
          <w:rFonts w:ascii="Times New Roman" w:hAnsi="Times New Roman"/>
          <w:color w:val="auto"/>
          <w:sz w:val="28"/>
          <w:szCs w:val="28"/>
        </w:rPr>
        <w:t xml:space="preserve"> 63 копейки </w:t>
      </w:r>
      <w:r>
        <w:rPr>
          <w:rFonts w:ascii="Times New Roman" w:hAnsi="Times New Roman"/>
          <w:color w:val="auto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8"/>
        </w:rPr>
        <w:t xml:space="preserve">№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numPr>
          <w:numId w:val="43"/>
          <w:ilvl w:val="0"/>
        </w:num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</w:t>
      </w:r>
      <w:r>
        <w:rPr>
          <w:rFonts w:ascii="Times New Roman" w:hAnsi="Times New Roman"/>
          <w:sz w:val="28"/>
          <w:szCs w:val="28"/>
        </w:rPr>
        <w:t xml:space="preserve">нений в Закон Забайкальского края от 24 декабря 2024 года № 2446-ЗЗК «О бюджете Забайкальского края на 2025 год и плановый период 2026 и 2027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4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председателя Правительства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4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А.И.Кефер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4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40"/>
        <w:ind w:firstLine="0"/>
        <w:rPr>
          <w:rFonts w:ascii="Times New Roman" w:hAnsi="Times New Roman"/>
          <w:sz w:val="28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0"/>
        <w:ind w:left="11199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 1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0"/>
        <w:tabs>
          <w:tab w:val="left" w:pos="10632" w:leader="none"/>
        </w:tabs>
        <w:ind w:left="9781" w:right="-1134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0"/>
        <w:tabs>
          <w:tab w:val="left" w:pos="10632" w:leader="none"/>
        </w:tabs>
        <w:ind w:left="9781" w:right="-1134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Забайкальского края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0"/>
        <w:tabs>
          <w:tab w:val="left" w:pos="10632" w:leader="none"/>
        </w:tabs>
        <w:ind w:right="-1134" w:firstLine="0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ПЕРЕРАСПРЕДЕЛЕНИЕ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бюджетных ассигнований, направляемых на финансовое обеспечение мероприятий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региональной программы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Забайкальского края «Модернизация систем коммунальной инфраструктуры (2023-2027 годы)»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5134"/>
        <w:gridCol w:w="993"/>
        <w:gridCol w:w="1275"/>
        <w:gridCol w:w="1276"/>
        <w:gridCol w:w="1985"/>
        <w:gridCol w:w="1275"/>
        <w:gridCol w:w="2204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Код ведомства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РЗ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Код целевой статьи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ВР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Сумма (рублей)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</w:tbl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5134"/>
        <w:gridCol w:w="993"/>
        <w:gridCol w:w="1275"/>
        <w:gridCol w:w="1276"/>
        <w:gridCol w:w="1985"/>
        <w:gridCol w:w="1275"/>
        <w:gridCol w:w="2204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Министерство финансов Забайкальского края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002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</w:rPr>
              <w:t xml:space="preserve">190 531 527,89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Софинансирование расходов для участия в национальных проектах и государственных программах Российской Федерации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8800000705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870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</w:rPr>
              <w:t xml:space="preserve">190 531 527,89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Министерство жилищно-коммунального хозяйства, энергетики, цифровизации и связи Забайкальского края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099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616 631 159,63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2720109505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04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31 697 000,00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644" w:type="dxa"/>
            <w:vMerge w:val="restart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34" w:type="dxa"/>
            <w:vMerge w:val="restart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2720109505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04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394 402 631,74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644" w:type="dxa"/>
            <w:vMerge w:val="restart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34" w:type="dxa"/>
            <w:vMerge w:val="restart"/>
            <w:noWrap w:val="false"/>
            <w:textDirection w:val="lrTb"/>
            <w:vAlign w:val="top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Обеспечение мероприятий по модернизации систем коммунальной инфраструктуры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2720109605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04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49 609 982,13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644" w:type="dxa"/>
            <w:vMerge w:val="restart"/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134" w:type="dxa"/>
            <w:vMerge w:val="restart"/>
            <w:noWrap w:val="false"/>
            <w:textDirection w:val="lrTb"/>
            <w:vAlign w:val="top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Обеспечение мероприятий по модернизации систем коммунальной инфраструктуры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2720109605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04" w:type="dxa"/>
            <w:vMerge w:val="restart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140 921 545,76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0"/>
        <w:spacing w:after="200" w:line="276" w:lineRule="auto"/>
        <w:ind w:left="5103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0"/>
        <w:spacing w:after="200" w:line="276" w:lineRule="auto"/>
        <w:ind w:left="5103" w:firstLine="0"/>
        <w:jc w:val="center"/>
        <w:rPr>
          <w:rFonts w:ascii="Times New Roman" w:hAnsi="Times New Roman"/>
          <w:sz w:val="28"/>
          <w:szCs w:val="24"/>
        </w:rPr>
        <w:sectPr>
          <w:footnotePr/>
          <w:endnotePr/>
          <w:type w:val="nextPage"/>
          <w:pgSz w:w="16838" w:h="11906" w:orient="landscape"/>
          <w:pgMar w:top="1843" w:right="1134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0"/>
        <w:spacing w:after="200" w:line="276" w:lineRule="auto"/>
        <w:ind w:left="5103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 xml:space="preserve">№ 2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47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Правительства Забайкальского края 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4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44"/>
        <w:shd w:val="clear" w:color="auto" w:fill="ffffff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4"/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РАСПРЕДЕЛЕНИЕ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субсидий бюджетам муниципальных районов,</w:t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муниципальных и городских округов Забайкальского края</w:t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на реализацию мероприятий по модернизации, строительству,</w:t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реконструкции и капитальному ремонту систем коммунальной</w:t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инфраструктуры в рамках региональной программы</w:t>
      </w:r>
    </w:p>
    <w:p>
      <w:pPr>
        <w:pStyle w:val="944"/>
        <w:shd w:val="clear" w:color="auto" w:fill="ffffff"/>
        <w:ind w:left="0"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Забайкальского края «Модернизация систем коммунальной</w:t>
      </w:r>
    </w:p>
    <w:p>
      <w:pPr>
        <w:pStyle w:val="944"/>
        <w:shd w:val="clear" w:color="auto" w:fill="ffffff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инфраструктуры (2023 - 2027 годы)», утвержденной постановлением Правительства Забайкальского края от 7 июля 2023 года № 349, 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4"/>
        <w:shd w:val="clear" w:color="auto" w:fill="ffffff"/>
        <w:ind w:left="0" w:firstLine="0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на 2025 год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44"/>
        <w:shd w:val="clear" w:color="auto" w:fill="ffffff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highlight w:val="none"/>
        </w:rPr>
      </w:r>
      <w:r>
        <w:rPr>
          <w:rFonts w:ascii="Times New Roman" w:hAnsi="Times New Roman"/>
          <w:b/>
          <w:sz w:val="28"/>
          <w:szCs w:val="24"/>
          <w:highlight w:val="none"/>
        </w:rPr>
      </w:r>
    </w:p>
    <w:p>
      <w:pPr>
        <w:pStyle w:val="9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495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3"/>
        <w:gridCol w:w="3550"/>
        <w:gridCol w:w="1700"/>
        <w:gridCol w:w="1700"/>
        <w:gridCol w:w="1842"/>
      </w:tblGrid>
      <w:tr>
        <w:trPr>
          <w:trHeight w:val="319"/>
        </w:trPr>
        <w:tblPrEx/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551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округов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551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36"/>
        </w:trPr>
        <w:tblPrEx/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551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5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бюджета Забайкальского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9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498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701"/>
        <w:gridCol w:w="1701"/>
        <w:gridCol w:w="1843"/>
      </w:tblGrid>
      <w:tr>
        <w:trPr>
          <w:trHeight w:val="118"/>
          <w:tblHeader/>
        </w:trPr>
        <w:tblPrEx/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54"/>
        </w:trPr>
        <w:tblPrEx/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ind w:firstLine="0"/>
              <w:jc w:val="lef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краю,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940"/>
              <w:ind w:firstLine="0"/>
              <w:jc w:val="lef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616 631 159,63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426 099 631,74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190 531 527,89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54"/>
        </w:trPr>
        <w:tblPrEx/>
        <w:tc>
          <w:tcPr>
            <w:tcW w:w="7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940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Балейского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455 324 177,50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344 402 631,74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110 921 545,76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4"/>
        </w:trPr>
        <w:tblPrEx/>
        <w:tc>
          <w:tcPr>
            <w:tcW w:w="7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940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Забайкальского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63 619 851,13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21 592 000,00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42 027 851,13</w:t>
            </w:r>
          </w:p>
        </w:tc>
      </w:tr>
      <w:tr>
        <w:trPr>
          <w:trHeight w:val="454"/>
        </w:trPr>
        <w:tblPrEx/>
        <w:tc>
          <w:tcPr>
            <w:tcW w:w="7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Могочинского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17 687 131,00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10 105 000,00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7 582 131,00</w:t>
            </w:r>
          </w:p>
        </w:tc>
      </w:tr>
      <w:tr>
        <w:trPr>
          <w:trHeight w:val="607"/>
        </w:trPr>
        <w:tblPrEx/>
        <w:tc>
          <w:tcPr>
            <w:tcW w:w="7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940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/>
        </w:tc>
        <w:tc>
          <w:tcPr>
            <w:tcW w:w="35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Петровск-Забайкальского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80 000 000,00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50 000 000,00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30 000 000,00</w:t>
            </w:r>
          </w:p>
        </w:tc>
      </w:tr>
    </w:tbl>
    <w:p>
      <w:pPr>
        <w:pStyle w:val="9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4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0"/>
        <w:ind w:firstLine="0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pStyle w:val="940"/>
        <w:spacing w:after="200" w:line="276" w:lineRule="auto"/>
        <w:ind w:left="5103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9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4" w:hanging="1455"/>
      </w:pPr>
      <w:rPr>
        <w:rFonts w:ascii="Times New Roman CYR" w:hAnsi="Times New Roman CYR" w:cs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3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0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7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4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2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9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6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36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pStyle w:val="971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1"/>
  </w:num>
  <w:num w:numId="2">
    <w:abstractNumId w:val="36"/>
  </w:num>
  <w:num w:numId="3">
    <w:abstractNumId w:val="25"/>
  </w:num>
  <w:num w:numId="4">
    <w:abstractNumId w:val="8"/>
  </w:num>
  <w:num w:numId="5">
    <w:abstractNumId w:val="40"/>
  </w:num>
  <w:num w:numId="6">
    <w:abstractNumId w:val="5"/>
  </w:num>
  <w:num w:numId="7">
    <w:abstractNumId w:val="31"/>
  </w:num>
  <w:num w:numId="8">
    <w:abstractNumId w:val="19"/>
  </w:num>
  <w:num w:numId="9">
    <w:abstractNumId w:val="7"/>
  </w:num>
  <w:num w:numId="10">
    <w:abstractNumId w:val="1"/>
  </w:num>
  <w:num w:numId="11">
    <w:abstractNumId w:val="35"/>
  </w:num>
  <w:num w:numId="12">
    <w:abstractNumId w:val="23"/>
  </w:num>
  <w:num w:numId="13">
    <w:abstractNumId w:val="32"/>
  </w:num>
  <w:num w:numId="14">
    <w:abstractNumId w:val="14"/>
  </w:num>
  <w:num w:numId="15">
    <w:abstractNumId w:val="34"/>
  </w:num>
  <w:num w:numId="16">
    <w:abstractNumId w:val="29"/>
  </w:num>
  <w:num w:numId="17">
    <w:abstractNumId w:val="17"/>
  </w:num>
  <w:num w:numId="18">
    <w:abstractNumId w:val="39"/>
  </w:num>
  <w:num w:numId="19">
    <w:abstractNumId w:val="22"/>
  </w:num>
  <w:num w:numId="20">
    <w:abstractNumId w:val="37"/>
  </w:num>
  <w:num w:numId="21">
    <w:abstractNumId w:val="2"/>
  </w:num>
  <w:num w:numId="22">
    <w:abstractNumId w:val="28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6"/>
  </w:num>
  <w:num w:numId="27">
    <w:abstractNumId w:val="9"/>
  </w:num>
  <w:num w:numId="28">
    <w:abstractNumId w:val="24"/>
  </w:num>
  <w:num w:numId="29">
    <w:abstractNumId w:val="16"/>
  </w:num>
  <w:num w:numId="30">
    <w:abstractNumId w:val="6"/>
  </w:num>
  <w:num w:numId="31">
    <w:abstractNumId w:val="18"/>
  </w:num>
  <w:num w:numId="32">
    <w:abstractNumId w:val="27"/>
  </w:num>
  <w:num w:numId="33">
    <w:abstractNumId w:val="12"/>
  </w:num>
  <w:num w:numId="34">
    <w:abstractNumId w:val="20"/>
  </w:num>
  <w:num w:numId="35">
    <w:abstractNumId w:val="30"/>
  </w:num>
  <w:num w:numId="36">
    <w:abstractNumId w:val="33"/>
  </w:num>
  <w:num w:numId="37">
    <w:abstractNumId w:val="13"/>
  </w:num>
  <w:num w:numId="38">
    <w:abstractNumId w:val="11"/>
  </w:num>
  <w:num w:numId="39">
    <w:abstractNumId w:val="3"/>
  </w:num>
  <w:num w:numId="40">
    <w:abstractNumId w:val="38"/>
  </w:num>
  <w:num w:numId="41">
    <w:abstractNumId w:val="1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40"/>
    <w:next w:val="940"/>
    <w:link w:val="76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40"/>
    <w:next w:val="940"/>
    <w:link w:val="7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40"/>
    <w:next w:val="940"/>
    <w:link w:val="7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40"/>
    <w:next w:val="940"/>
    <w:link w:val="7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40"/>
    <w:next w:val="940"/>
    <w:link w:val="7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40"/>
    <w:next w:val="940"/>
    <w:link w:val="7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40"/>
    <w:next w:val="940"/>
    <w:link w:val="7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40"/>
    <w:next w:val="940"/>
    <w:link w:val="7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40"/>
    <w:next w:val="940"/>
    <w:link w:val="7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940"/>
    <w:uiPriority w:val="34"/>
    <w:qFormat/>
    <w:pPr>
      <w:ind w:left="720"/>
      <w:contextualSpacing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40"/>
    <w:next w:val="940"/>
    <w:link w:val="78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940"/>
    <w:next w:val="940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spacing w:after="57"/>
      <w:ind w:left="0" w:right="0" w:firstLine="0"/>
    </w:pPr>
  </w:style>
  <w:style w:type="paragraph" w:styleId="930">
    <w:name w:val="toc 2"/>
    <w:basedOn w:val="940"/>
    <w:next w:val="940"/>
    <w:uiPriority w:val="39"/>
    <w:unhideWhenUsed/>
    <w:pPr>
      <w:spacing w:after="57"/>
      <w:ind w:left="283" w:right="0" w:firstLine="0"/>
    </w:pPr>
  </w:style>
  <w:style w:type="paragraph" w:styleId="931">
    <w:name w:val="toc 3"/>
    <w:basedOn w:val="940"/>
    <w:next w:val="940"/>
    <w:uiPriority w:val="39"/>
    <w:unhideWhenUsed/>
    <w:pPr>
      <w:spacing w:after="57"/>
      <w:ind w:left="567" w:right="0" w:firstLine="0"/>
    </w:pPr>
  </w:style>
  <w:style w:type="paragraph" w:styleId="932">
    <w:name w:val="toc 4"/>
    <w:basedOn w:val="940"/>
    <w:next w:val="940"/>
    <w:uiPriority w:val="39"/>
    <w:unhideWhenUsed/>
    <w:pPr>
      <w:spacing w:after="57"/>
      <w:ind w:left="850" w:right="0" w:firstLine="0"/>
    </w:pPr>
  </w:style>
  <w:style w:type="paragraph" w:styleId="933">
    <w:name w:val="toc 5"/>
    <w:basedOn w:val="940"/>
    <w:next w:val="940"/>
    <w:uiPriority w:val="39"/>
    <w:unhideWhenUsed/>
    <w:pPr>
      <w:spacing w:after="57"/>
      <w:ind w:left="1134" w:right="0" w:firstLine="0"/>
    </w:pPr>
  </w:style>
  <w:style w:type="paragraph" w:styleId="934">
    <w:name w:val="toc 6"/>
    <w:basedOn w:val="940"/>
    <w:next w:val="940"/>
    <w:uiPriority w:val="39"/>
    <w:unhideWhenUsed/>
    <w:pPr>
      <w:spacing w:after="57"/>
      <w:ind w:left="1417" w:right="0" w:firstLine="0"/>
    </w:pPr>
  </w:style>
  <w:style w:type="paragraph" w:styleId="935">
    <w:name w:val="toc 7"/>
    <w:basedOn w:val="940"/>
    <w:next w:val="940"/>
    <w:uiPriority w:val="39"/>
    <w:unhideWhenUsed/>
    <w:pPr>
      <w:spacing w:after="57"/>
      <w:ind w:left="1701" w:right="0" w:firstLine="0"/>
    </w:pPr>
  </w:style>
  <w:style w:type="paragraph" w:styleId="936">
    <w:name w:val="toc 8"/>
    <w:basedOn w:val="940"/>
    <w:next w:val="940"/>
    <w:uiPriority w:val="39"/>
    <w:unhideWhenUsed/>
    <w:pPr>
      <w:spacing w:after="57"/>
      <w:ind w:left="1984" w:right="0" w:firstLine="0"/>
    </w:pPr>
  </w:style>
  <w:style w:type="paragraph" w:styleId="937">
    <w:name w:val="toc 9"/>
    <w:basedOn w:val="940"/>
    <w:next w:val="940"/>
    <w:uiPriority w:val="39"/>
    <w:unhideWhenUsed/>
    <w:pPr>
      <w:spacing w:after="57"/>
      <w:ind w:left="2268" w:right="0" w:firstLine="0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next w:val="940"/>
    <w:link w:val="940"/>
    <w:qFormat/>
    <w:pPr>
      <w:ind w:firstLine="709"/>
      <w:jc w:val="both"/>
    </w:pPr>
    <w:rPr>
      <w:sz w:val="22"/>
      <w:szCs w:val="22"/>
      <w:lang w:val="ru-RU" w:eastAsia="en-US" w:bidi="ar-SA"/>
    </w:rPr>
  </w:style>
  <w:style w:type="character" w:styleId="941">
    <w:name w:val="Основной шрифт абзаца"/>
    <w:next w:val="941"/>
    <w:link w:val="940"/>
    <w:uiPriority w:val="1"/>
    <w:semiHidden/>
    <w:unhideWhenUsed/>
  </w:style>
  <w:style w:type="table" w:styleId="942">
    <w:name w:val="Обычная таблица"/>
    <w:next w:val="942"/>
    <w:link w:val="940"/>
    <w:uiPriority w:val="99"/>
    <w:semiHidden/>
    <w:unhideWhenUsed/>
    <w:tblPr/>
  </w:style>
  <w:style w:type="numbering" w:styleId="943">
    <w:name w:val="Нет списка"/>
    <w:next w:val="943"/>
    <w:link w:val="940"/>
    <w:uiPriority w:val="99"/>
    <w:semiHidden/>
    <w:unhideWhenUsed/>
  </w:style>
  <w:style w:type="paragraph" w:styleId="944">
    <w:name w:val="Абзац списка"/>
    <w:basedOn w:val="940"/>
    <w:next w:val="944"/>
    <w:link w:val="940"/>
    <w:uiPriority w:val="34"/>
    <w:qFormat/>
    <w:pPr>
      <w:ind w:left="720"/>
      <w:contextualSpacing/>
    </w:pPr>
  </w:style>
  <w:style w:type="table" w:styleId="945">
    <w:name w:val="Сетка таблицы"/>
    <w:basedOn w:val="942"/>
    <w:next w:val="945"/>
    <w:link w:val="940"/>
    <w:uiPriority w:val="59"/>
    <w:pPr>
      <w:spacing w:after="0" w:line="240" w:lineRule="auto"/>
      <w:ind w:firstLine="709"/>
      <w:jc w:val="both"/>
    </w:pPr>
    <w:tblPr/>
  </w:style>
  <w:style w:type="paragraph" w:styleId="946">
    <w:name w:val="Обычный (веб)"/>
    <w:basedOn w:val="940"/>
    <w:next w:val="946"/>
    <w:link w:val="967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947">
    <w:name w:val="ConsPlusNormal"/>
    <w:next w:val="947"/>
    <w:link w:val="94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48">
    <w:name w:val="ConsPlusTitle"/>
    <w:next w:val="948"/>
    <w:link w:val="94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949">
    <w:name w:val="Строгий"/>
    <w:next w:val="949"/>
    <w:link w:val="940"/>
    <w:uiPriority w:val="22"/>
    <w:qFormat/>
    <w:rPr>
      <w:b/>
      <w:bCs/>
    </w:rPr>
  </w:style>
  <w:style w:type="paragraph" w:styleId="950">
    <w:name w:val="Текст выноски"/>
    <w:basedOn w:val="940"/>
    <w:next w:val="950"/>
    <w:link w:val="95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51">
    <w:name w:val="Текст выноски Знак"/>
    <w:next w:val="951"/>
    <w:link w:val="950"/>
    <w:uiPriority w:val="99"/>
    <w:semiHidden/>
    <w:rPr>
      <w:rFonts w:ascii="Tahoma" w:hAnsi="Tahoma" w:cs="Tahoma"/>
      <w:sz w:val="16"/>
      <w:szCs w:val="16"/>
    </w:rPr>
  </w:style>
  <w:style w:type="paragraph" w:styleId="952">
    <w:name w:val="Верхний колонтитул"/>
    <w:basedOn w:val="940"/>
    <w:next w:val="952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>
    <w:name w:val="Верхний колонтитул Знак"/>
    <w:basedOn w:val="941"/>
    <w:next w:val="953"/>
    <w:link w:val="952"/>
    <w:uiPriority w:val="99"/>
  </w:style>
  <w:style w:type="paragraph" w:styleId="954">
    <w:name w:val="Нижний колонтитул"/>
    <w:basedOn w:val="940"/>
    <w:next w:val="954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>
    <w:name w:val="Нижний колонтитул Знак"/>
    <w:basedOn w:val="941"/>
    <w:next w:val="955"/>
    <w:link w:val="954"/>
    <w:uiPriority w:val="99"/>
  </w:style>
  <w:style w:type="paragraph" w:styleId="956">
    <w:name w:val="ConsPlusTitlePage"/>
    <w:next w:val="956"/>
    <w:link w:val="940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957">
    <w:name w:val="ConsPlusNonformat"/>
    <w:next w:val="957"/>
    <w:link w:val="9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58">
    <w:name w:val="ConsPlusCell"/>
    <w:next w:val="958"/>
    <w:link w:val="9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59">
    <w:name w:val="ConsPlusDocList"/>
    <w:next w:val="959"/>
    <w:link w:val="94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60">
    <w:name w:val="ConsPlusJurTerm"/>
    <w:next w:val="960"/>
    <w:link w:val="940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961">
    <w:name w:val="ConsPlusTextList"/>
    <w:next w:val="961"/>
    <w:link w:val="94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62">
    <w:name w:val="Знак примечания"/>
    <w:next w:val="962"/>
    <w:link w:val="940"/>
    <w:uiPriority w:val="99"/>
    <w:semiHidden/>
    <w:unhideWhenUsed/>
    <w:rPr>
      <w:sz w:val="16"/>
      <w:szCs w:val="16"/>
    </w:rPr>
  </w:style>
  <w:style w:type="paragraph" w:styleId="963">
    <w:name w:val="Текст примечания"/>
    <w:basedOn w:val="940"/>
    <w:next w:val="963"/>
    <w:link w:val="964"/>
    <w:uiPriority w:val="99"/>
    <w:semiHidden/>
    <w:unhideWhenUsed/>
    <w:pPr>
      <w:ind w:firstLine="567"/>
    </w:pPr>
    <w:rPr>
      <w:rFonts w:ascii="Arial" w:hAnsi="Arial" w:eastAsia="Times New Roman"/>
      <w:sz w:val="20"/>
      <w:szCs w:val="20"/>
      <w:lang w:val="en-US" w:eastAsia="ru-RU"/>
    </w:rPr>
  </w:style>
  <w:style w:type="character" w:styleId="964">
    <w:name w:val="Текст примечания Знак"/>
    <w:next w:val="964"/>
    <w:link w:val="963"/>
    <w:uiPriority w:val="99"/>
    <w:semiHidden/>
    <w:rPr>
      <w:rFonts w:ascii="Arial" w:hAnsi="Arial" w:eastAsia="Times New Roman" w:cs="Times New Roman"/>
      <w:sz w:val="20"/>
      <w:szCs w:val="20"/>
      <w:lang w:eastAsia="ru-RU"/>
    </w:rPr>
  </w:style>
  <w:style w:type="paragraph" w:styleId="965">
    <w:name w:val="Тема примечания"/>
    <w:basedOn w:val="963"/>
    <w:next w:val="963"/>
    <w:link w:val="966"/>
    <w:uiPriority w:val="99"/>
    <w:semiHidden/>
    <w:unhideWhenUsed/>
    <w:rPr>
      <w:b/>
      <w:bCs/>
      <w:lang w:val="en-US"/>
    </w:rPr>
  </w:style>
  <w:style w:type="character" w:styleId="966">
    <w:name w:val="Тема примечания Знак"/>
    <w:next w:val="966"/>
    <w:link w:val="965"/>
    <w:uiPriority w:val="99"/>
    <w:semiHidden/>
    <w:rPr>
      <w:rFonts w:ascii="Arial" w:hAnsi="Arial" w:eastAsia="Times New Roman" w:cs="Times New Roman"/>
      <w:b/>
      <w:bCs/>
      <w:sz w:val="20"/>
      <w:szCs w:val="20"/>
      <w:lang w:eastAsia="ru-RU"/>
    </w:rPr>
  </w:style>
  <w:style w:type="character" w:styleId="967">
    <w:name w:val="Обычный (веб) Знак"/>
    <w:next w:val="967"/>
    <w:link w:val="94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8">
    <w:name w:val="Гиперссылка"/>
    <w:next w:val="968"/>
    <w:link w:val="940"/>
    <w:uiPriority w:val="99"/>
    <w:semiHidden/>
    <w:unhideWhenUsed/>
    <w:rPr>
      <w:color w:val="0000ff"/>
      <w:u w:val="single"/>
    </w:rPr>
  </w:style>
  <w:style w:type="paragraph" w:styleId="969">
    <w:name w:val="Без интервала"/>
    <w:next w:val="969"/>
    <w:link w:val="940"/>
    <w:uiPriority w:val="1"/>
    <w:qFormat/>
    <w:rPr>
      <w:sz w:val="22"/>
      <w:szCs w:val="22"/>
      <w:lang w:val="ru-RU" w:eastAsia="en-US" w:bidi="ar-SA"/>
    </w:rPr>
  </w:style>
  <w:style w:type="character" w:styleId="970">
    <w:name w:val="Номер строки"/>
    <w:basedOn w:val="941"/>
    <w:next w:val="970"/>
    <w:link w:val="940"/>
    <w:uiPriority w:val="99"/>
    <w:semiHidden/>
    <w:unhideWhenUsed/>
  </w:style>
  <w:style w:type="numbering" w:styleId="971">
    <w:name w:val="Стиль1"/>
    <w:next w:val="971"/>
    <w:link w:val="940"/>
    <w:uiPriority w:val="99"/>
    <w:pPr>
      <w:numPr>
        <w:numId w:val="28"/>
        <w:ilvl w:val="0"/>
      </w:numPr>
    </w:pPr>
  </w:style>
  <w:style w:type="character" w:styleId="972">
    <w:name w:val="searchtext"/>
    <w:basedOn w:val="941"/>
    <w:next w:val="972"/>
    <w:link w:val="940"/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diakov.net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72</cp:revision>
  <dcterms:created xsi:type="dcterms:W3CDTF">2020-11-27T08:15:00Z</dcterms:created>
  <dcterms:modified xsi:type="dcterms:W3CDTF">2025-04-23T07:32:23Z</dcterms:modified>
  <cp:version>1048576</cp:version>
</cp:coreProperties>
</file>