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0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0"/>
        <w:shd w:val="clear" w:color="auto" w:fill="auto"/>
        <w:spacing w:line="240" w:lineRule="auto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ОТЧЁТ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0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исполнению Плана внедрения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0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положений Регионального социального стандарта в Забайкальском крае в 2024 - 2025 годы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1000"/>
        <w:shd w:val="clear" w:color="auto" w:fill="auto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tbl>
      <w:tblPr>
        <w:tblW w:w="15452" w:type="dxa"/>
        <w:tblInd w:w="-4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2127"/>
        <w:gridCol w:w="1842"/>
        <w:gridCol w:w="5387"/>
        <w:gridCol w:w="2268"/>
      </w:tblGrid>
      <w:tr>
        <w:trPr>
          <w:trHeight w:val="490"/>
        </w:trPr>
        <w:tblPrEx/>
        <w:tc>
          <w:tcPr>
            <w:tcW w:w="1277" w:type="dxa"/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№ </w:t>
            </w:r>
            <w:r>
              <w:rPr>
                <w:rStyle w:val="971"/>
                <w:b/>
                <w:sz w:val="24"/>
                <w:szCs w:val="24"/>
              </w:rPr>
              <w:t xml:space="preserve">п</w:t>
            </w:r>
            <w:r>
              <w:rPr>
                <w:rStyle w:val="971"/>
                <w:b/>
                <w:sz w:val="24"/>
                <w:szCs w:val="24"/>
              </w:rPr>
              <w:t xml:space="preserve">/п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551" w:type="dxa"/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Наименование мероприятия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2127" w:type="dxa"/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Ответственный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842" w:type="dxa"/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Сроки исполнения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387" w:type="dxa"/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Исполнение</w:t>
            </w:r>
            <w:r>
              <w:rPr>
                <w:rStyle w:val="971"/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</w:p>
        </w:tc>
        <w:tc>
          <w:tcPr>
            <w:tcW w:w="2268" w:type="dxa"/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Выполнено</w:t>
            </w:r>
            <w:r>
              <w:rPr>
                <w:rStyle w:val="971"/>
                <w:b/>
                <w:sz w:val="24"/>
                <w:szCs w:val="24"/>
              </w:rPr>
              <w:t xml:space="preserve">/Н</w:t>
            </w:r>
            <w:r>
              <w:rPr>
                <w:rStyle w:val="971"/>
                <w:b/>
                <w:sz w:val="24"/>
                <w:szCs w:val="24"/>
              </w:rPr>
              <w:t xml:space="preserve">е выполнено/Частично выполнено</w:t>
            </w:r>
            <w:r>
              <w:rPr>
                <w:rStyle w:val="971"/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</w:p>
        </w:tc>
      </w:tr>
    </w:tbl>
    <w:p>
      <w:pPr>
        <w:pStyle w:val="1000"/>
        <w:shd w:val="clear" w:color="auto" w:fill="auto"/>
        <w:spacing w:line="240" w:lineRule="auto"/>
        <w:rPr>
          <w:sz w:val="2"/>
          <w:szCs w:val="24"/>
        </w:rPr>
      </w:pPr>
      <w:r>
        <w:rPr>
          <w:sz w:val="2"/>
          <w:szCs w:val="24"/>
        </w:rPr>
      </w:r>
      <w:r>
        <w:rPr>
          <w:sz w:val="2"/>
          <w:szCs w:val="24"/>
        </w:rPr>
      </w:r>
      <w:r>
        <w:rPr>
          <w:sz w:val="2"/>
          <w:szCs w:val="24"/>
        </w:rPr>
      </w:r>
    </w:p>
    <w:tbl>
      <w:tblPr>
        <w:tblW w:w="15452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7"/>
        <w:gridCol w:w="2551"/>
        <w:gridCol w:w="2127"/>
        <w:gridCol w:w="1842"/>
        <w:gridCol w:w="5387"/>
        <w:gridCol w:w="2268"/>
      </w:tblGrid>
      <w:tr>
        <w:trPr>
          <w:trHeight w:val="261"/>
          <w:tblHeader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5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6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</w:tr>
      <w:tr>
        <w:trPr>
          <w:trHeight w:val="192"/>
        </w:trPr>
        <w:tblPrEx/>
        <w:tc>
          <w:tcPr>
            <w:tcW w:w="1545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1. Стратегия развития социальной сферы</w:t>
            </w:r>
            <w:r>
              <w:rPr>
                <w:rStyle w:val="971"/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</w:p>
        </w:tc>
      </w:tr>
      <w:tr>
        <w:trPr>
          <w:trHeight w:val="282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1.1.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Мониторинг и анализ реализации государственной политики в социальной сфере края с учетом Указов Президента Российской Федерации, мероприятий Национальных проектов,  государственных программ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Минплан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Минздрав,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Минобр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Минкульт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Минспорт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постоянно,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доклад Губернатору Забайкальского края ежегодно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до 1 октября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Утверждена Стратегия социально-экономического развития Забайкальского края до 2035 года (далее – Стратегия) (постановление Правительства Забайкальского края № 272 от 02.06.2023 г.).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Утвержден План мероприятий по реализации Стратегии (распоряжение Правительства Забайкальского края от 27.09.2023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гожа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№ 371-р).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64"/>
                <w:sz w:val="24"/>
                <w:szCs w:val="24"/>
                <w:highlight w:val="non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Мониторинг осуществляется ежемесячно: ответственными исполнительными органами заполняется отчет об исполнении Плана мероприятий по реализации Стратегии по ссылке: </w:t>
            </w:r>
            <w:hyperlink r:id="rId13" w:tooltip="https://disk.yandex.ru/edit/d/ieEN859tHnNpr4WHCGUK0SPegnqahzm72s0qoIz-cKg6VFUzR3doNnUwUQ." w:history="1">
              <w:r>
                <w:rPr>
                  <w:rStyle w:val="964"/>
                  <w:sz w:val="24"/>
                  <w:szCs w:val="24"/>
                  <w:highlight w:val="white"/>
                </w:rPr>
                <w:t xml:space="preserve">https://disk.yandex.ru/edit/d/ieEN859tHnNpr4WHCGUK0SPegnqahzm72s0qoIz-cKg6VFUzR3doNnUwUQ.</w:t>
              </w:r>
              <w:r>
                <w:rPr>
                  <w:rStyle w:val="964"/>
                  <w:sz w:val="24"/>
                  <w:szCs w:val="24"/>
                  <w:highlight w:val="white"/>
                </w:rPr>
              </w:r>
              <w:r>
                <w:rPr>
                  <w:rStyle w:val="964"/>
                  <w:sz w:val="24"/>
                  <w:szCs w:val="24"/>
                  <w:highlight w:val="none"/>
                </w:rPr>
              </w:r>
            </w:hyperlink>
            <w:r>
              <w:rPr>
                <w:rStyle w:val="964"/>
                <w:sz w:val="24"/>
                <w:szCs w:val="24"/>
                <w:highlight w:val="none"/>
              </w:rPr>
            </w:r>
            <w:r>
              <w:rPr>
                <w:rStyle w:val="964"/>
                <w:sz w:val="24"/>
                <w:szCs w:val="24"/>
                <w:highlight w:val="non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none"/>
              </w:rPr>
            </w:pPr>
            <w:r>
              <w:rPr>
                <w:rStyle w:val="971"/>
                <w:b/>
                <w:bCs/>
                <w:sz w:val="24"/>
                <w:szCs w:val="24"/>
                <w:highlight w:val="none"/>
              </w:rPr>
              <w:t xml:space="preserve"> Минздрав:</w:t>
            </w:r>
            <w:r>
              <w:rPr>
                <w:rStyle w:val="971"/>
                <w:sz w:val="24"/>
                <w:szCs w:val="24"/>
                <w:highlight w:val="none"/>
              </w:rPr>
            </w:r>
            <w:r>
              <w:rPr>
                <w:rStyle w:val="971"/>
                <w:sz w:val="24"/>
                <w:szCs w:val="24"/>
                <w:highlight w:val="non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none"/>
              </w:rPr>
              <w:t xml:space="preserve"> Во исп</w:t>
            </w:r>
            <w:r>
              <w:rPr>
                <w:rStyle w:val="971"/>
                <w:sz w:val="24"/>
                <w:szCs w:val="24"/>
                <w:highlight w:val="none"/>
              </w:rPr>
              <w:t xml:space="preserve">олнение Указов Президента Российской Федерации от 7 мая 2018 года № 204 «О национальных целях и стратегических задачах развития Российской Федерации на период до 2024 года», от 21 июля 2020 года № 474 «О национальных целях развития Российской Федерации на </w:t>
            </w:r>
            <w:r>
              <w:rPr>
                <w:rStyle w:val="971"/>
                <w:sz w:val="24"/>
                <w:szCs w:val="24"/>
                <w:highlight w:val="none"/>
              </w:rPr>
              <w:t xml:space="preserve">период  до 2030 года» для достижения национальной цели «Сохранение населения, здоровье и благополучие людей» вм 2024 году продолжена реализация 9 региональных проектов в сфере здравоохранения в рамках национальных проектов «Здравоохранение» и «Демография».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702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1.2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Корректировка </w:t>
            </w:r>
            <w:hyperlink r:id="rId14" w:tooltip="consultantplus://offline/ref=287002BAE95AC3FB1028CA163FAE54172C5A109C0745153373B0DD494BD0E364195262CD81BFBB2CF0A36D667031DB3529947AF79B4A29F356979BFF46b6j7H" w:history="1">
              <w:r>
                <w:rPr>
                  <w:sz w:val="24"/>
                  <w:szCs w:val="24"/>
                  <w:highlight w:val="white"/>
                </w:rPr>
                <w:t xml:space="preserve">Стратеги</w:t>
              </w:r>
            </w:hyperlink>
            <w:r>
              <w:rPr>
                <w:sz w:val="24"/>
                <w:szCs w:val="24"/>
                <w:highlight w:val="white"/>
              </w:rPr>
              <w:t xml:space="preserve">и социально-экономического развития Забайкальского края на период до 2035 года, </w:t>
            </w:r>
            <w:r>
              <w:rPr>
                <w:sz w:val="24"/>
                <w:szCs w:val="24"/>
                <w:highlight w:val="white"/>
              </w:rPr>
              <w:t xml:space="preserve">утвержденной</w:t>
            </w:r>
            <w:r>
              <w:rPr>
                <w:sz w:val="24"/>
                <w:szCs w:val="24"/>
                <w:highlight w:val="white"/>
              </w:rPr>
              <w:t xml:space="preserve"> постановлением Правительства Забайкальского края от 2 июня 2023 года № 272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Минплан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Минздрав,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Минобр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Минкульт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Минспорт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по мере необходимости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none"/>
              </w:rPr>
            </w:pPr>
            <w:r>
              <w:rPr>
                <w:rStyle w:val="971"/>
                <w:sz w:val="24"/>
                <w:szCs w:val="24"/>
                <w:highlight w:val="none"/>
              </w:rPr>
              <w:t xml:space="preserve"> Постановлением Правительства Забайкальского края № 277 от 7 июня 2024 года утверждены изменения в Стратегию социально-экономического развития Забайкальского края до 2035 года;</w:t>
            </w:r>
            <w:r>
              <w:rPr>
                <w:rStyle w:val="971"/>
                <w:sz w:val="24"/>
                <w:szCs w:val="24"/>
                <w:highlight w:val="none"/>
              </w:rPr>
            </w:r>
            <w:r>
              <w:rPr>
                <w:rStyle w:val="971"/>
                <w:sz w:val="24"/>
                <w:szCs w:val="24"/>
                <w:highlight w:val="non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none"/>
              </w:rPr>
              <w:t xml:space="preserve"> Распоряжением Правительства Забайкальского края № 451-р от 18 октября 2024 года утверждены изменения в План мероприятий по реализации Стратегии социально-экономического развития Забайкальского края до 2035 года.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non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556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  <w:vAlign w:val="center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2. Совет по качеству жизни</w:t>
            </w:r>
            <w:r>
              <w:rPr>
                <w:rStyle w:val="971"/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</w:p>
        </w:tc>
      </w:tr>
      <w:tr>
        <w:trPr>
          <w:trHeight w:val="988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2.1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Внесение на утверждение проекта распоряжения Правительства  Забайкальского края о создании Совета по улучшению качества жизни в Забайкальском крае (далее – Совет)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1 кв. 2024 г.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Распоряжением Правительства Забайкальского края от 16 января  2024 г. № 13-р утвержден Совет по качеству жизни.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Информация об участии Министерства культуры Забайкальского края в деятельности Совета по улучшению качества жизни освещается через портал «Культура75».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689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2.2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Проведение заседаний Совета, </w:t>
            </w:r>
            <w:r>
              <w:rPr>
                <w:sz w:val="24"/>
                <w:szCs w:val="24"/>
                <w:highlight w:val="white"/>
              </w:rPr>
              <w:t xml:space="preserve">контроль за</w:t>
            </w:r>
            <w:r>
              <w:rPr>
                <w:sz w:val="24"/>
                <w:szCs w:val="24"/>
                <w:highlight w:val="white"/>
              </w:rPr>
              <w:t xml:space="preserve"> исполнением решений Совета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не реже, чем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два раза в год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Проведено 3 заседания Совета (13.03.2024 г., 01.10.2024 г. и 03.12.2024г.).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850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2.3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Информационное освещение деятельности Совета в средствах массовой информации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Минздрав,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Минобр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Минкульт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Минспорт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Минплан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МинРГО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не реже, чем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два раза в год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non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Заседание Совета освещалось на сайте Правительства Забайкальского края, запланировано освещение по итогам исполнения поручений, данных на Совете.</w:t>
            </w:r>
            <w:r>
              <w:rPr>
                <w:rStyle w:val="971"/>
                <w:sz w:val="24"/>
                <w:szCs w:val="24"/>
                <w:highlight w:val="none"/>
              </w:rPr>
            </w:r>
            <w:r>
              <w:rPr>
                <w:rStyle w:val="971"/>
                <w:sz w:val="24"/>
                <w:szCs w:val="24"/>
                <w:highlight w:val="non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none"/>
              </w:rPr>
              <w:t xml:space="preserve">Информация  об участии Министерства образования и науки Забайкальского края размещается на официальном сайте </w:t>
            </w:r>
            <w:r>
              <w:rPr>
                <w:rStyle w:val="971"/>
                <w:sz w:val="24"/>
                <w:szCs w:val="24"/>
                <w:highlight w:val="none"/>
                <w:lang w:val="en-US"/>
              </w:rPr>
            </w:r>
            <w:hyperlink r:id="rId15" w:tooltip="https://minobr.75.ru/," w:history="1">
              <w:r>
                <w:rPr>
                  <w:rStyle w:val="964"/>
                  <w:sz w:val="24"/>
                  <w:szCs w:val="24"/>
                  <w:highlight w:val="none"/>
                  <w:lang w:val="en-US"/>
                </w:rPr>
                <w:t xml:space="preserve">https</w:t>
              </w:r>
              <w:r>
                <w:rPr>
                  <w:rStyle w:val="964"/>
                  <w:sz w:val="24"/>
                  <w:szCs w:val="24"/>
                  <w:highlight w:val="none"/>
                  <w:lang w:val="ru-RU"/>
                </w:rPr>
                <w:t xml:space="preserve">://</w:t>
              </w:r>
              <w:r>
                <w:rPr>
                  <w:rStyle w:val="964"/>
                  <w:sz w:val="24"/>
                  <w:szCs w:val="24"/>
                  <w:highlight w:val="none"/>
                  <w:lang w:val="en-US"/>
                </w:rPr>
                <w:t xml:space="preserve">minobr.75.ru/</w:t>
              </w:r>
              <w:r>
                <w:rPr>
                  <w:rStyle w:val="964"/>
                  <w:sz w:val="24"/>
                  <w:szCs w:val="24"/>
                  <w:highlight w:val="none"/>
                  <w:lang w:val="ru-RU"/>
                </w:rPr>
                <w:t xml:space="preserve">,</w:t>
              </w:r>
            </w:hyperlink>
            <w:r>
              <w:rPr>
                <w:rStyle w:val="971"/>
                <w:sz w:val="24"/>
                <w:szCs w:val="24"/>
                <w:highlight w:val="none"/>
                <w:lang w:val="ru-RU"/>
              </w:rPr>
              <w:t xml:space="preserve"> в социальных сетях и каналах ведомства.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Информация об участии Министерства культуры Забайкальского края в деятельности Совета освещается через портал «Культура75».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204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</w:rPr>
            </w:pPr>
            <w:r>
              <w:rPr>
                <w:rStyle w:val="971"/>
                <w:b/>
                <w:sz w:val="24"/>
                <w:szCs w:val="24"/>
              </w:rPr>
              <w:t xml:space="preserve">3. Институт региональных сервисных уполномоченных с правовым закреплением статуса</w:t>
            </w:r>
            <w:r>
              <w:rPr>
                <w:rStyle w:val="971"/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  <w:r>
              <w:rPr>
                <w:rStyle w:val="971"/>
                <w:b/>
                <w:sz w:val="24"/>
                <w:szCs w:val="24"/>
              </w:rPr>
            </w:r>
          </w:p>
        </w:tc>
      </w:tr>
      <w:tr>
        <w:trPr>
          <w:trHeight w:val="689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3.1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Внесение на утверждение проекта распоряжения об утверждении регионального сервисного уполномоченного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1 кв. 2024 г.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Х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Не 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712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3.2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Внесение предложений по повышению эффективности деятельности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регионального сервисного уполномоченного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1 кв. 2024 г.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Исх. № А-20-12606 от 21.08.2024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rPr>
          <w:trHeight w:val="6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3.3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Организация обучающих мероприятий по применению методов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сервис-дизайна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в социальной сфере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региональный сервисный уполномоченный края,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сервис-дизайнеры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постоянно,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по отдельному плану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Х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705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3.4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Участие команды регионального сервисного уполномоченного края и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сервис-дизайнеров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в Акселераторе социальных решений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региональный сервисный уполномоченный края,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сервис-дизайнеры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ежегодно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Х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3.5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Организация работы с исполнительными органами края социального блока по определению и проработке жизненных ситуаций, внедрению положений Регионального социального стандарта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региональный сервисный уполномоченный края,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сервис-дизайнеры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постоянно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Х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Х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191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  <w:highlight w:val="white"/>
              </w:rPr>
            </w:pPr>
            <w:r>
              <w:rPr>
                <w:rStyle w:val="971"/>
                <w:b/>
                <w:sz w:val="24"/>
                <w:szCs w:val="24"/>
                <w:highlight w:val="white"/>
              </w:rPr>
              <w:t xml:space="preserve">4. Межведомственное и межсекторное взаимодействие</w:t>
            </w:r>
            <w:r>
              <w:rPr>
                <w:rStyle w:val="971"/>
                <w:b/>
                <w:sz w:val="24"/>
                <w:szCs w:val="24"/>
                <w:highlight w:val="white"/>
              </w:rPr>
            </w:r>
            <w:r>
              <w:rPr>
                <w:rStyle w:val="971"/>
                <w:b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rStyle w:val="971"/>
                <w:b/>
                <w:sz w:val="24"/>
                <w:szCs w:val="24"/>
                <w:highlight w:val="white"/>
              </w:rPr>
            </w:r>
            <w:r>
              <w:rPr>
                <w:rStyle w:val="971"/>
                <w:b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  <w:lang w:val="en-US"/>
              </w:rPr>
              <w:t xml:space="preserve">4.</w:t>
            </w:r>
            <w:r>
              <w:rPr>
                <w:rStyle w:val="971"/>
                <w:sz w:val="24"/>
                <w:szCs w:val="24"/>
              </w:rPr>
              <w:t xml:space="preserve">1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Повышение качества предоставления государственных услуг посредством межведомственного взаимодействия с ведомствами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федерального уровня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Минздрав,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Минобр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Минкульт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Минспорт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постоянно,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отчет ежеквартально до 10 числа месяца, следующим за отчетным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месяцем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Минздрав </w:t>
            </w:r>
            <w:r>
              <w:rPr>
                <w:sz w:val="24"/>
                <w:szCs w:val="24"/>
                <w:highlight w:val="white"/>
              </w:rPr>
              <w:t xml:space="preserve">предлагает в целях бесшовного взаимодейс</w:t>
            </w:r>
            <w:r>
              <w:rPr>
                <w:sz w:val="24"/>
                <w:szCs w:val="24"/>
                <w:highlight w:val="white"/>
              </w:rPr>
              <w:t xml:space="preserve">твия ведомств, а также организаций, участвующих в предоставлении социальных услуг населению Забайкальского края, организовать единую информационную систему, куда будут интегрированы все базы данных ведомств и организаций, для своевременного и оперативного </w:t>
            </w:r>
            <w:r>
              <w:rPr>
                <w:sz w:val="24"/>
                <w:szCs w:val="24"/>
                <w:highlight w:val="white"/>
              </w:rPr>
              <w:t xml:space="preserve">направления запросов со стороны жителей края, а также получения ответа на направленный запрос.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 В соответствии с требованиями </w:t>
            </w:r>
            <w:r>
              <w:rPr>
                <w:sz w:val="24"/>
                <w:szCs w:val="24"/>
                <w:highlight w:val="white"/>
              </w:rPr>
              <w:t xml:space="preserve">чек-листа</w:t>
            </w:r>
            <w:r>
              <w:rPr>
                <w:sz w:val="24"/>
                <w:szCs w:val="24"/>
                <w:highlight w:val="white"/>
              </w:rPr>
              <w:t xml:space="preserve">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1) </w:t>
            </w:r>
            <w:r>
              <w:rPr>
                <w:b/>
                <w:sz w:val="24"/>
                <w:szCs w:val="24"/>
                <w:highlight w:val="white"/>
              </w:rPr>
              <w:t xml:space="preserve">Минэконом</w:t>
            </w:r>
            <w:r>
              <w:rPr>
                <w:sz w:val="24"/>
                <w:szCs w:val="24"/>
                <w:highlight w:val="white"/>
              </w:rPr>
              <w:t xml:space="preserve">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 регионе работает Центр инноваций социальной сферы (подразделение Некоммерческой </w:t>
            </w:r>
            <w:r>
              <w:rPr>
                <w:sz w:val="24"/>
                <w:szCs w:val="24"/>
                <w:highlight w:val="white"/>
              </w:rPr>
              <w:t xml:space="preserve">микрокредитной</w:t>
            </w:r>
            <w:r>
              <w:rPr>
                <w:sz w:val="24"/>
                <w:szCs w:val="24"/>
                <w:highlight w:val="white"/>
              </w:rPr>
              <w:t xml:space="preserve"> компании Фонда поддержки малого предпринимательства Забайкальского края), который оказыв</w:t>
            </w:r>
            <w:r>
              <w:rPr>
                <w:sz w:val="24"/>
                <w:szCs w:val="24"/>
                <w:highlight w:val="white"/>
              </w:rPr>
              <w:t xml:space="preserve">ает различные услуги социальным предприятиям.  Центром инноваций социальной сферы ежегодно проводятся образовательные мероприятия такие как: «Акселерационная образовательная программа для социальных предприятий», ежегодный Конкурс «Мой добрый бизнес», обра</w:t>
            </w:r>
            <w:r>
              <w:rPr>
                <w:sz w:val="24"/>
                <w:szCs w:val="24"/>
                <w:highlight w:val="white"/>
              </w:rPr>
              <w:t xml:space="preserve">зовательное мероприятие «Бизнес лагерь для социальных предпринимателей», образовательная программа «Школа социального предпринимательства»; – в регионе социальным предприятиям предоставляется финансовая поддержка (гранты на будущие расходы по оплате услуг </w:t>
            </w:r>
            <w:r>
              <w:rPr>
                <w:sz w:val="24"/>
                <w:szCs w:val="24"/>
                <w:highlight w:val="white"/>
              </w:rPr>
              <w:t xml:space="preserve">связи, транспортных и коммунальных услуг, содержания имущества, материально-технического оснащения, а также накладных расходов), информационная поддержка (в формате специализированных форумов, конференций), организационная поддержка (обеспечение участия в </w:t>
            </w:r>
            <w:r>
              <w:rPr>
                <w:sz w:val="24"/>
                <w:szCs w:val="24"/>
                <w:highlight w:val="white"/>
              </w:rPr>
              <w:t xml:space="preserve">госзакупках</w:t>
            </w:r>
            <w:r>
              <w:rPr>
                <w:sz w:val="24"/>
                <w:szCs w:val="24"/>
                <w:highlight w:val="white"/>
              </w:rPr>
              <w:t xml:space="preserve">, помощь в кооперации и организации партнерских отношений).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b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2) </w:t>
            </w:r>
            <w:r>
              <w:rPr>
                <w:b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b/>
                <w:sz w:val="24"/>
                <w:szCs w:val="24"/>
                <w:highlight w:val="white"/>
              </w:rPr>
              <w:t xml:space="preserve">: </w:t>
            </w:r>
            <w:r>
              <w:rPr>
                <w:b/>
                <w:sz w:val="24"/>
                <w:szCs w:val="24"/>
                <w:highlight w:val="white"/>
              </w:rPr>
            </w:r>
            <w:r>
              <w:rPr>
                <w:b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- </w:t>
            </w:r>
            <w:r>
              <w:rPr>
                <w:sz w:val="24"/>
                <w:szCs w:val="24"/>
                <w:highlight w:val="white"/>
              </w:rPr>
              <w:t xml:space="preserve">осуществляет</w:t>
            </w:r>
            <w:r>
              <w:rPr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предоставление </w:t>
            </w:r>
            <w:r>
              <w:rPr>
                <w:sz w:val="24"/>
                <w:szCs w:val="24"/>
                <w:highlight w:val="white"/>
              </w:rPr>
              <w:t xml:space="preserve">госуслуг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через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АС</w:t>
            </w:r>
            <w:r>
              <w:rPr>
                <w:sz w:val="24"/>
                <w:szCs w:val="24"/>
                <w:highlight w:val="white"/>
              </w:rPr>
              <w:t xml:space="preserve"> «Адресная социальная помощь», в которой интегрированы базы данных ведомств и организаций, участвующих в предоставлении услуг в социальной сфере;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b/>
                <w:sz w:val="24"/>
                <w:szCs w:val="24"/>
                <w:highlight w:val="white"/>
              </w:rPr>
              <w:t xml:space="preserve">- </w:t>
            </w:r>
            <w:r>
              <w:rPr>
                <w:sz w:val="24"/>
                <w:szCs w:val="24"/>
                <w:highlight w:val="white"/>
              </w:rPr>
              <w:t xml:space="preserve">существуют прозрачные правила для подключения негосударственных организаций, участвующих в предоставлении услуг в социальной сфере </w:t>
            </w:r>
            <w:r>
              <w:rPr>
                <w:sz w:val="24"/>
                <w:szCs w:val="24"/>
                <w:highlight w:val="white"/>
              </w:rPr>
              <w:t xml:space="preserve">к</w:t>
            </w:r>
            <w:r>
              <w:rPr>
                <w:sz w:val="24"/>
                <w:szCs w:val="24"/>
                <w:highlight w:val="white"/>
              </w:rPr>
              <w:t xml:space="preserve"> АС «Адресная социальная помощь».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rPr>
          <w:trHeight w:val="294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pacing w:line="240" w:lineRule="auto"/>
              <w:jc w:val="center"/>
              <w:rPr>
                <w:rStyle w:val="1018"/>
                <w:b/>
                <w:sz w:val="24"/>
                <w:szCs w:val="24"/>
              </w:rPr>
            </w:pPr>
            <w:r>
              <w:rPr>
                <w:rStyle w:val="1018"/>
                <w:b/>
                <w:sz w:val="24"/>
                <w:szCs w:val="24"/>
              </w:rPr>
              <w:t xml:space="preserve">5. Модель работы «Дружелюбная организация в социальной сфере»</w:t>
            </w:r>
            <w:r>
              <w:rPr>
                <w:rStyle w:val="1018"/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pacing w:line="240" w:lineRule="auto"/>
              <w:jc w:val="center"/>
              <w:rPr>
                <w:rStyle w:val="1018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5.1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Внедрение проекта «Дружелюбный центр социальной поддержки населения»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Минздрав, </w:t>
            </w:r>
            <w:r>
              <w:rPr>
                <w:rStyle w:val="971"/>
                <w:sz w:val="24"/>
                <w:szCs w:val="24"/>
              </w:rPr>
              <w:t xml:space="preserve">Минобр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 2 кв. 2024 г.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Информация о социальных услуга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х размещены на сайте ГУЗ «ДКМЦ г. Читы» и на сайтах каждого детского поликлинического отделения, оформлены QR коды ГУЗ «ДКМЦ г. Читы» и на сайтах каждого детского поликлинического отделения. В ГУЗ «ДКМЦ г. Читы» установлено электронное информационное табло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с информацией о получении социальных услуг.</w:t>
            </w:r>
            <w:r>
              <w:rPr>
                <w:highlight w:val="white"/>
              </w:rPr>
              <w:t xml:space="preserve">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Руководство и другие сотрудники организаций в сфере здравоохранения и образования регулярно проходят повышение квалификации по вопросам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клиентоцентричности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сервисного дизайна, бережливого производства или аналогичных направлений.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5.2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Проведение исследований среди получателей мер социальной поддержки и среди сотрудников пилотных учреждений в целях повышения мотивации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клиентоцентричного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поведения и анализ  данных с целью выявления и изучения потребностей клиентов и сотрудников пилотных учреждений,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сбор данных о клиентах и их текущем клиентском опыте, формирование общих подходов к созданию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человекоцентричной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организации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 подведомственные организации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 4 кв. 2024 г.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В рамках реализации ФП «Государство для людей» проведено анкетирования с целью </w:t>
            </w:r>
            <w:r>
              <w:rPr>
                <w:rStyle w:val="971"/>
                <w:sz w:val="24"/>
                <w:szCs w:val="24"/>
                <w:highlight w:val="none"/>
              </w:rPr>
              <w:t xml:space="preserve">оценки качества государственных услуг. По результатам независимой оценки путем </w:t>
            </w:r>
            <w:r>
              <w:rPr>
                <w:rStyle w:val="971"/>
                <w:sz w:val="24"/>
                <w:szCs w:val="24"/>
                <w:highlight w:val="none"/>
                <w:lang w:val="en-US"/>
              </w:rPr>
              <w:t xml:space="preserve">QR </w:t>
            </w:r>
            <w:r>
              <w:rPr>
                <w:rStyle w:val="971"/>
                <w:sz w:val="24"/>
                <w:szCs w:val="24"/>
                <w:highlight w:val="none"/>
              </w:rPr>
              <w:t xml:space="preserve">опроса 80 % получателей услуг  удовлетворены качеством и сроками предоставления гос.услуг. Также проведен реинжиниринг процессов в рамках реализации  </w:t>
            </w:r>
            <w:r>
              <w:rPr>
                <w:b w:val="0"/>
              </w:rPr>
              <w:t xml:space="preserve">Плана мероприятий по внедрению стандартов</w:t>
            </w:r>
            <w:r>
              <w:rPr>
                <w:b w:val="0"/>
                <w:u w:val="none"/>
              </w:rPr>
              <w:t xml:space="preserve"> </w:t>
            </w:r>
            <w:r>
              <w:rPr>
                <w:b w:val="0"/>
                <w:u w:val="none"/>
              </w:rPr>
              <w:t xml:space="preserve">клиентоцентричности</w:t>
            </w:r>
            <w:r>
              <w:rPr>
                <w:b w:val="0"/>
              </w:rPr>
              <w:t xml:space="preserve"> в Забайкальском крае, что привело к сокращению сроков и качества процессов в подведомственных учреждениях и Минсоц. 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5.3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Внедрение принципов бережливого производства при оказании государственных услуг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: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1.Оптимизация процесса оказания государственной услуги «Содействие гражданам в поиске подходящей работы».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2.Оптимизация процесса оказания государственной услуги «Содействие работодателям в подборе необходимых работников».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3.Оптимизация процесса осуществления социальных выплат гражданам, признанным в установленном порядке безработными, в виде пособия по безработице.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подведомственные организации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1 кв. 2024 г.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КГУ «Краевой центр занятости населения Забайкальского края» осуществил внедрение принципов бережливого производства при оказании указанных государственных услуг.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5.4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Проведение сравнительного анализа результатов деятельности ЦЗН до и после внедрения принципов </w:t>
            </w:r>
            <w:r>
              <w:rPr>
                <w:sz w:val="24"/>
                <w:szCs w:val="24"/>
                <w:highlight w:val="white"/>
              </w:rPr>
              <w:t xml:space="preserve">бережливого производства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 кв. 2024 г.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Эффективность внедре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ния признана высокой. 27 ноября Министерство труда и социальной защиты населения Забайкальского края (далее – Министерство) успешно защитило и получило статус местного образца по внедрению принципов бережливого управления. Министерство получило сертификат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соответствия местному уровню образца, подтверждающий успешную реализацию программы «Эффективный регион» с использованием методов бережливого производства в соответствии с критериями партнерской программы проверки качества образца Производственной системы «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Росатом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».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5.5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Разработка рациональной маршрутизации для всех пациентов, включая пациентов с ограничением функционального здоровья (маломобильные, слабослышащие, слабовидящие и т.д.)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Минздрав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30 декабря 2024 г.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/>
                <w:szCs w:val="28"/>
                <w:highlight w:val="white"/>
              </w:rPr>
              <w:t xml:space="preserve">Маршрутизация пациентов осуществляется в соответствии с нормативно–правовыми актами Министерства по профилям, актуализация которых производится по мере необходимости.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szCs w:val="28"/>
                <w:highlight w:val="none"/>
              </w:rPr>
              <w:t xml:space="preserve">Выполнено</w:t>
            </w:r>
            <w:r>
              <w:rPr>
                <w:rFonts w:ascii="Times New Roman" w:hAnsi="Times New Roman" w:eastAsia="Times New Roman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Cs w:val="28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5.6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Анкетирование пациентов медицинских организаций третьего уровня с целью определения комфортности пребывания,  доступности консультативной помощи (разработка </w:t>
            </w:r>
            <w:r>
              <w:rPr>
                <w:rStyle w:val="971"/>
                <w:sz w:val="24"/>
                <w:szCs w:val="24"/>
              </w:rPr>
              <w:t xml:space="preserve">чек-листов</w:t>
            </w:r>
            <w:r>
              <w:rPr>
                <w:rStyle w:val="971"/>
                <w:sz w:val="24"/>
                <w:szCs w:val="24"/>
              </w:rPr>
              <w:t xml:space="preserve">)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Минздрав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два раза в год,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отчет ежегодно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30 декабря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Осуществляется постоянно на регулярной основе.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552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5.7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Внедрение речевых скриптов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Минздрав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4 кв. 2024 г.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Осуществляется постоянно на регулярной основе.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5.8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Внедрение механизмов бережливого производства и единого визуального стиля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Минздрав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4 кв. 2024 г.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В ходе </w:t>
            </w:r>
            <w:r>
              <w:rPr>
                <w:rFonts w:ascii="Times New Roman" w:hAnsi="Times New Roman" w:eastAsia="Times New Roman"/>
                <w:highlight w:val="white"/>
              </w:rPr>
              <w:t xml:space="preserve">реализации мероприятий Программы модернизации первичного звена здравоохранения</w:t>
            </w:r>
            <w:r>
              <w:rPr>
                <w:rFonts w:ascii="Times New Roman" w:hAnsi="Times New Roman" w:eastAsia="Times New Roman"/>
                <w:highlight w:val="white"/>
              </w:rPr>
              <w:t xml:space="preserve"> разработан и внедрен единый визуальный образ объектов первичного звена здравоохранения Забайкальского края.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Минздравом ведется мониторинг доступнос</w:t>
            </w:r>
            <w:r>
              <w:rPr>
                <w:rFonts w:ascii="Times New Roman" w:hAnsi="Times New Roman" w:eastAsia="Times New Roman"/>
                <w:highlight w:val="white"/>
              </w:rPr>
              <w:t xml:space="preserve">ти и удовлетворенности населения качеством медицинской помощи, который ежеквартально направляется в Минздрав России. Плановые значения показателя «Оценка общественного мнения по удовлетворенности населения медицинской помощью, процент» Забайкальского края 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ind w:firstLine="709"/>
              <w:jc w:val="both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– на 2022 год – 34,5 %, по данным мониторинга за 2022 год составил 25,4 %;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ind w:firstLine="709"/>
              <w:jc w:val="both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– на 2023 год – 43,0 %, по данным мониторинга за 2023 год составляет 37,1 %. 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ind w:firstLine="709"/>
              <w:jc w:val="both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– на 2024 год плановые значения - 51,7 %.  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    Пр</w:t>
            </w:r>
            <w:r>
              <w:rPr>
                <w:rFonts w:ascii="Times New Roman" w:hAnsi="Times New Roman" w:eastAsia="Times New Roman"/>
                <w:highlight w:val="white"/>
              </w:rPr>
              <w:t xml:space="preserve">одолжается работа по внедрению методов «бережливого производства» в медицинских учреждениях. В целях получения базовых теоретических знаний и профессиональных компетенций, необходимых для повышения квалификации руководителей медицинских организаций и обуче</w:t>
            </w:r>
            <w:r>
              <w:rPr>
                <w:rFonts w:ascii="Times New Roman" w:hAnsi="Times New Roman" w:eastAsia="Times New Roman"/>
                <w:highlight w:val="white"/>
              </w:rPr>
              <w:t xml:space="preserve">ния медицинских работников основам бережливого производства на базе ФГБОУ ВО «ЧГМА» Минздрава России с сентября 2021 года организованы циклы повышения квалификации. Обучено более 200 медицинских работников из 30 медицинских организаций Забайкальского края.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eastAsia="Times New Roman"/>
                <w:highlight w:val="white"/>
              </w:rPr>
              <w:t xml:space="preserve">    В настоящее время медицинские организации отрабатывают проекты</w:t>
            </w:r>
            <w:r>
              <w:rPr>
                <w:rFonts w:ascii="Times New Roman" w:hAnsi="Times New Roman" w:eastAsia="Times New Roman"/>
                <w:highlight w:val="white"/>
              </w:rPr>
              <w:t xml:space="preserve"> по улучшению качества и доступности медицинской помощи: организация открытой регистратуры, распределение потоков пациентов, эффективность использования оборудования, качество пространства, стандартизация процессов, вовлеченность персонала в их улучшение, </w:t>
            </w:r>
            <w:r>
              <w:rPr>
                <w:rFonts w:ascii="Times New Roman" w:hAnsi="Times New Roman" w:eastAsia="Times New Roman"/>
                <w:szCs w:val="28"/>
                <w:highlight w:val="white"/>
              </w:rPr>
              <w:t xml:space="preserve">качество медицинской помощи, формирование системы управления в медици</w:t>
            </w:r>
            <w:r>
              <w:rPr>
                <w:rFonts w:ascii="Times New Roman" w:hAnsi="Times New Roman" w:eastAsia="Times New Roman"/>
                <w:szCs w:val="28"/>
                <w:highlight w:val="white"/>
              </w:rPr>
              <w:t xml:space="preserve">нских организациях, управление запасами. Для удобства пациентов на всех этажах поликлиник нанесены навигационные стрелки с указателями служебных помещений, кабинетов врачей и узких специалистов. В целях повышения доступности связи в поликлиниках действуют </w:t>
            </w:r>
            <w:r>
              <w:rPr>
                <w:rFonts w:ascii="Times New Roman" w:hAnsi="Times New Roman" w:eastAsia="Times New Roman"/>
                <w:szCs w:val="28"/>
                <w:highlight w:val="white"/>
              </w:rPr>
              <w:t xml:space="preserve">колл</w:t>
            </w:r>
            <w:r>
              <w:rPr>
                <w:rFonts w:ascii="Times New Roman" w:hAnsi="Times New Roman" w:eastAsia="Times New Roman"/>
                <w:szCs w:val="28"/>
                <w:highlight w:val="white"/>
              </w:rPr>
              <w:t xml:space="preserve">-центры</w:t>
            </w:r>
            <w:r>
              <w:rPr>
                <w:rFonts w:ascii="Times New Roman" w:hAnsi="Times New Roman" w:eastAsia="Times New Roman"/>
                <w:szCs w:val="28"/>
                <w:highlight w:val="white"/>
              </w:rPr>
              <w:t xml:space="preserve">. Сокращено время пр</w:t>
            </w:r>
            <w:r>
              <w:rPr>
                <w:rFonts w:ascii="Times New Roman" w:hAnsi="Times New Roman" w:eastAsia="Times New Roman"/>
                <w:szCs w:val="28"/>
                <w:highlight w:val="white"/>
              </w:rPr>
              <w:t xml:space="preserve">ебывания в очередях к специалистам, на лабораторные и функциональные исследования. Организованы кабинеты неотложной помощи. Проводится профилактическая работа и диспансеризация, выездными медицинскими бригадами в сельских и удаленных от центра поселениях. </w:t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/>
                <w:sz w:val="28"/>
                <w:szCs w:val="28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/>
                <w:highlight w:val="white"/>
              </w:rPr>
            </w:pPr>
            <w:r>
              <w:rPr>
                <w:rFonts w:ascii="Times New Roman" w:hAnsi="Times New Roman" w:eastAsia="Times New Roman"/>
                <w:highlight w:val="none"/>
              </w:rPr>
              <w:t xml:space="preserve">Выполнено</w:t>
            </w:r>
            <w:r>
              <w:rPr>
                <w:rFonts w:ascii="Times New Roman" w:hAnsi="Times New Roman" w:eastAsia="Times New Roman"/>
                <w:highlight w:val="white"/>
              </w:rPr>
            </w:r>
            <w:r>
              <w:rPr>
                <w:rFonts w:ascii="Times New Roman" w:hAnsi="Times New Roman" w:eastAsia="Times New Roman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5.9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Оценка эффективности внедрения рациональной маршрутизации (анкетирование, опросы) в медицинских организациях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Минздрав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4 кв. 2024 г.</w:t>
            </w:r>
            <w:r>
              <w:rPr>
                <w:rFonts w:ascii="Times New Roman" w:hAnsi="Times New Roman" w:cs="Times New Roman"/>
                <w:highlight w:val="yellow"/>
              </w:rPr>
            </w:r>
            <w:r>
              <w:rPr>
                <w:rFonts w:ascii="Times New Roman" w:hAnsi="Times New Roman" w:cs="Times New Roman"/>
                <w:highlight w:val="yellow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Осуществляется постоянно на регулярной основе.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5.10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приема заявлений на зачисление в дошкольное общеобразовательное </w:t>
            </w:r>
            <w:r>
              <w:rPr>
                <w:sz w:val="24"/>
                <w:szCs w:val="24"/>
              </w:rPr>
              <w:t xml:space="preserve">учреждение, учреждение среднего профессионального образования посредством федеральной государственной информационной системы «Единый портал государственных и муниципальных услуг»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Минобр</w:t>
            </w:r>
            <w:r>
              <w:rPr>
                <w:rStyle w:val="971"/>
                <w:sz w:val="24"/>
                <w:szCs w:val="24"/>
              </w:rPr>
              <w:t xml:space="preserve">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Осуществляется на постоянной основе.</w:t>
            </w: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Прием заявлений в образовательные организации Забайкальского края осуществляется посредством ФГИС ЕПГУ в штатном режиме.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Выполнено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pacing w:line="240" w:lineRule="auto"/>
              <w:jc w:val="center"/>
              <w:rPr>
                <w:rStyle w:val="1018"/>
                <w:b/>
                <w:sz w:val="24"/>
                <w:szCs w:val="24"/>
              </w:rPr>
            </w:pPr>
            <w:r>
              <w:rPr>
                <w:rStyle w:val="1018"/>
                <w:b/>
                <w:sz w:val="24"/>
                <w:szCs w:val="24"/>
              </w:rPr>
              <w:t xml:space="preserve">6. Поддержка региональных социально ориентированных некоммерческих организаций и социального предпринимательства</w:t>
            </w:r>
            <w:r>
              <w:rPr>
                <w:rStyle w:val="1018"/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pacing w:line="240" w:lineRule="auto"/>
              <w:jc w:val="center"/>
              <w:rPr>
                <w:rStyle w:val="1018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6.1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Оказание финансовой поддержки социально-ориентированным некоммерческим организациям (далее – СО НКО) посредством предоставления субсидии из краевого бюджета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Минобр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Минздрав,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Минспорт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Минкультуры,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Минплан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 25 декабря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b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971"/>
                <w:rFonts w:eastAsia="Courier New"/>
                <w:b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rFonts w:eastAsia="Courier New"/>
                <w:b/>
                <w:sz w:val="24"/>
                <w:szCs w:val="24"/>
                <w:highlight w:val="white"/>
              </w:rPr>
              <w:t xml:space="preserve">: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на 2024 год в реестр поставщиков социал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ьных услуг Забайкальского края включены 66 организаций социального обслуживания, в том числе 20 негосударственных (1 акционерное общество, 1 индивидуальный предприниматель, 18 СО НКО), что составляет 29 % от общего количества поставщиков социальных услуг.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Ведется работа по организации проведения конкурса НКО на  предоставление субсидий за счёт средств бюджета Забайкальского края СО НКО, не являющимся государственными </w:t>
            </w:r>
            <w:r>
              <w:rPr>
                <w:rStyle w:val="971"/>
                <w:rFonts w:eastAsia="Courier New"/>
                <w:spacing w:val="-20"/>
                <w:sz w:val="24"/>
                <w:szCs w:val="24"/>
                <w:highlight w:val="white"/>
              </w:rPr>
              <w:t xml:space="preserve">(муниципальными)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учреждениями, оказывающим социальные услуги в форме социального обслуживания на дому. В 2024 году  на указанные цели Министерству предусмотрено 53,56 млн. руб.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  <w:t xml:space="preserve"> Минобр: 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В 2024 году предоставлены субсидии из бюджета Забайкальского края: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– частным образовательным организациям в объеме 50,9 млн. руб.,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– организациям отдыха детей и их оздоровления - 9,9 млн. руб.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У организаций отдыха детей и их оздоровления закуплены путевки на сумму 15-5 млн. руб.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highlight w:val="white"/>
              </w:rPr>
              <w:t xml:space="preserve">Минкульт</w:t>
            </w:r>
            <w:r>
              <w:rPr>
                <w:rFonts w:ascii="Times New Roman" w:hAnsi="Times New Roman" w:cs="Times New Roman"/>
                <w:highlight w:val="white"/>
              </w:rPr>
              <w:t xml:space="preserve">: ежегодно, в соответствии с Порядком предоставления субсидий из бюджета Забайкальского края СО НКО, не являющимся государственными </w:t>
            </w:r>
            <w:r>
              <w:rPr>
                <w:rFonts w:ascii="Times New Roman" w:hAnsi="Times New Roman" w:cs="Times New Roman"/>
                <w:spacing w:val="-20"/>
                <w:highlight w:val="white"/>
              </w:rPr>
              <w:t xml:space="preserve">(муниципальными)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учреждениями, оказывающим услуги в области культуры 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искусства, утвержденным постановлением Правительства Забайкальского края от 18 августа 2017 года № 336, Министерством проводится конкурс на предоставление субсидий из бюджета Забайкальского края СО НКО, не являющимся государственными </w:t>
            </w:r>
            <w:r>
              <w:rPr>
                <w:rFonts w:ascii="Times New Roman" w:hAnsi="Times New Roman" w:cs="Times New Roman"/>
                <w:spacing w:val="-20"/>
                <w:highlight w:val="white"/>
              </w:rPr>
              <w:t xml:space="preserve">(муниципальными)</w:t>
            </w:r>
            <w:r>
              <w:rPr>
                <w:rFonts w:ascii="Times New Roman" w:hAnsi="Times New Roman" w:cs="Times New Roman"/>
                <w:highlight w:val="white"/>
              </w:rPr>
              <w:t xml:space="preserve"> учреждениями, оказывающим услуги в области культуры 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искусства. В 2024 году поддержку из бюджета Забайкальского края получили 8 некоммерческих организаций сферы культуры, общая сумма составила 710 тыс. руб.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pStyle w:val="1027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1028"/>
                <w:sz w:val="24"/>
                <w:szCs w:val="24"/>
                <w:highlight w:val="white"/>
              </w:rPr>
              <w:t xml:space="preserve">На 1 октября 2024 года реализованы 3 проекта:</w:t>
            </w:r>
            <w:r>
              <w:rPr>
                <w:highlight w:val="white"/>
              </w:rPr>
              <w:br/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1) Автономная некоммерческая организация центр содействия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7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развития и продвижения творческого потенциала в сфере культуры и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7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искусства «Культурный порыв»- проект «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Айдентика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11 кадров!».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7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2) Автономная некоммерческая организация Центр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развитиякультуры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«Экслибрис»- проект городской фестиваль «Семьей возродится Россия».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7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3) Агинская местная общественная организация содействия и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7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поддержки творческой деятельности работников социально-культурной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7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сферы «Инициатива»- проект «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Онон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Хата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н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-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хранительница семейного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7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очага».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6.2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Оказание информационной и консультационной поддержки СО НКО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Минобр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. Минздрав,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Минспорт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Минкультуры,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Минплан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Министерствами на постоянной основе осуществляется оказание информационной и консультационной поддержки СО НКО.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  <w:t xml:space="preserve">Минобр: 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В 2024 году проводились следующие профилактические и консультационные мероприятия: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1. информирование: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- совещания в режиме ВКС по вопросам организации образовательной деятельности (в частности, выдача документов об образовании, внесение сведений в ФИС ФРДО и т. д.):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- ежегодные встречи с представителями предпринимательского сообщества (руководителями частных ДОУ, ИП, реализующими программы дошкольного образования), последняя такая встреча прошла в декабре 2024 года;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– направление писем по вопросам организации образовательной деятельности, об изменениях законодательства в сфере образования разъяснительного и информационного содержания;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– размещение информации на официальном сайте и мессенджерах ведомства.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2. консультирование: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– проводится по запросу образовательных организаций, в частности в 2024 году проводились консультации для руководителей и педагогических работников ЧОУ «Радуга», ЧОУ «РЖД лицей № 15», ЧОУ «РЖД лицей № 16», ЧОУ «РЖД лицей « 18».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  <w:t xml:space="preserve"> Всего в течение 2024 года 17  СО НКО воспользовались информационной и консультативной поддержкой.</w:t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none"/>
              </w:rPr>
            </w:r>
          </w:p>
          <w:p>
            <w:pPr>
              <w:ind w:left="0" w:firstLine="0"/>
              <w:jc w:val="both"/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6.3.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Предоставление и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распределение субсидии из краевого бюджета бюджетам муниципальных образований края на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софинансирование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расходных обязательств муниципальных образований края по поддержке СО НКО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Минобр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.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Минздрав,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Минспорт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Минкультуры,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Минплан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постоянно,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ежегодно отчет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white"/>
              </w:rPr>
              <w:t xml:space="preserve">Минсоц: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не предоставляет субсидии из краевого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бюджета бюджетам муниципальных образований края на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софинансирование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расходных обязательств муниципальных образований края по поддержке СО НКО.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  <w:t xml:space="preserve">Минкульт: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Поддержка региональных социально-ориентированных некоммерческих организаций о мероприятиях  о мероприятиях Плана выполнены в полном объеме.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6.4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Проведение конкурса и отбор поставщиков социальных услуг для предоставления субсидии СО НКО, осуществляющих деятельность в социальном обслуживании отельных категорий граждан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ежегодно, отчет до 30 декабря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Проведение конкурса состоялось 17 декабря 2024 года.  Внесены изменения в Порядки предоставления субсидий в целях приведения их в соответствие с действующим законода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тельством. Министерство осуществляет оценку качества оказываемых СО НКО общественно полезных услуг в сфере социального обслуживания населения и выдает заключение о соответствии качества оказываемых СО НКО общественно полезных услуг установленным критериям.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6.5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Предоставление субсидии некоммерческой организации «Фонд развития Забайкальского края» на проведение конкурса грантов некоммерческих неправительственных организаций на реализацию в Забайкальском крае общественно значимых </w:t>
            </w:r>
            <w:r>
              <w:rPr>
                <w:sz w:val="24"/>
                <w:szCs w:val="24"/>
              </w:rPr>
              <w:t xml:space="preserve">проектов, направленных на развитие гражданского общества, в рамках </w:t>
            </w:r>
            <w:r>
              <w:rPr>
                <w:sz w:val="24"/>
                <w:szCs w:val="24"/>
              </w:rPr>
              <w:t xml:space="preserve">софинансирования</w:t>
            </w:r>
            <w:r>
              <w:rPr>
                <w:sz w:val="24"/>
                <w:szCs w:val="24"/>
              </w:rPr>
              <w:t xml:space="preserve"> совместно с Фондом президентских грантов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МинРГО</w:t>
            </w:r>
            <w:r>
              <w:rPr>
                <w:rStyle w:val="971"/>
                <w:sz w:val="24"/>
                <w:szCs w:val="24"/>
              </w:rPr>
              <w:t xml:space="preserve">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cy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Style w:val="971"/>
                <w:rFonts w:eastAsia="Courier New"/>
                <w:sz w:val="24"/>
                <w:szCs w:val="24"/>
                <w:highlight w:val="cyan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cy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 центре «Мой бизнес» субъекты МСП, признанные социальными предприятиями, могут воспользоваться следующими видами поддержки-микрозаймы с максимальной суммой до 5 миллионо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в рублей на срок до 3-х лет; 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– настройка таргетированной и контекстной рекламы в сети «Интернет»;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– разработка брендбука (фирменного стиля);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– изготовление и размещение наружной рекламы;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– разработка рекламно-полиграфической продукции;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– изготовление фото- и видеоматериалов рекламного характера;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– разработка лендинга (одностраничного сайта);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– написание бизнес-плана, в том числе в целях получения микрозайма;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– акселерационные обучающие программы.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В случае недостаточности залогового 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имущества возможно предоставление Поручительства ООО «Гарантийный фонд Забайкальского края» в качестве обеспечения обязательств Заемщика, которое покрывает  не более 70% от размера микрозайма. Максимальная сумма поручительства - 25 млн. рублей, сроком до 1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84 месяцев. Для предпринимателей, работающих более года, поручительство составляет от 0,5% до 1,5 % годовых, в зависимости от вида деятельности клиента, а для начинающих предпринимателей ООО «Гарантийный фонд Забайкальского края» не взимает вознаграждение.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jc w:val="center"/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6.6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Формирование и актуализация реестра социальных предпринимателей края, проведение информационно-разъяснительной работы с субъектами малого и среднего предпринимательства (далее – МСП) по условиям получения статуса «социального предприятия»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Минэконом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отчет до 1 августа, 25 декабря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white"/>
              </w:rPr>
              <w:t xml:space="preserve">Информация о социальных предпринимателях Забайкальского края актуализирована в реестре субъектов малого и среднего предпринимательства 10 декабря 2024 года. Количество социальных предприятий в Забайкальском крае составило 101 единица.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eastAsia="Times New Roman" w:cs="Times New Roman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highlight w:val="none"/>
              </w:rPr>
              <w:t xml:space="preserve">Выполнено</w:t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6.7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Предоставление мер поддержки субъектам МСП края, признанным социальными предпринимателями (финансовой, образовательной, консультационной и т.п.), в т. ч. проведение обучающих и/или акселерационных программ для потенциальных и </w:t>
            </w:r>
            <w:r>
              <w:rPr>
                <w:rStyle w:val="971"/>
                <w:sz w:val="24"/>
                <w:szCs w:val="24"/>
              </w:rPr>
              <w:t xml:space="preserve">действующих социальных предприятий; проведение информационной кампании по оповещению субъектов МСП, включенных в реестр социальных предпринимателей, о приеме заявок, о предоставлении грантов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Минэконом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отчет до 1 августа, 25 декабря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25"/>
              <w:tabs>
                <w:tab w:val="left" w:pos="3484" w:leader="none"/>
              </w:tabs>
              <w:ind w:left="0" w:right="95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В рамках реализации национального проекта «Малое и среднее </w:t>
            </w:r>
            <w:r>
              <w:rPr>
                <w:spacing w:val="-2"/>
                <w:sz w:val="24"/>
                <w:highlight w:val="white"/>
              </w:rPr>
              <w:t xml:space="preserve">предпринимательство</w:t>
            </w:r>
            <w:r>
              <w:rPr>
                <w:sz w:val="24"/>
                <w:highlight w:val="white"/>
              </w:rPr>
              <w:tab/>
              <w:t xml:space="preserve">и поддержка индивидуальной </w:t>
            </w:r>
            <w:r>
              <w:rPr>
                <w:spacing w:val="-20"/>
                <w:sz w:val="24"/>
                <w:highlight w:val="white"/>
              </w:rPr>
              <w:t xml:space="preserve">предпринимательской</w:t>
            </w:r>
            <w:r>
              <w:rPr>
                <w:sz w:val="24"/>
                <w:highlight w:val="white"/>
              </w:rPr>
              <w:t xml:space="preserve"> инициативы»: социальным предприятиям оказываются следующие виды поддержки: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295" w:leader="none"/>
              </w:tabs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</w:t>
            </w:r>
            <w:r>
              <w:rPr>
                <w:sz w:val="24"/>
                <w:highlight w:val="white"/>
              </w:rPr>
              <w:t xml:space="preserve">льготные</w:t>
            </w:r>
            <w:r>
              <w:rPr>
                <w:spacing w:val="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микрозаймы</w:t>
            </w:r>
            <w:r>
              <w:rPr>
                <w:spacing w:val="6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размере</w:t>
            </w:r>
            <w:r>
              <w:rPr>
                <w:spacing w:val="6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до</w:t>
            </w:r>
            <w:r>
              <w:rPr>
                <w:spacing w:val="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5</w:t>
            </w:r>
            <w:r>
              <w:rPr>
                <w:spacing w:val="6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миллионов</w:t>
            </w:r>
            <w:r>
              <w:rPr>
                <w:spacing w:val="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рублей</w:t>
            </w:r>
            <w:r>
              <w:rPr>
                <w:spacing w:val="6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на</w:t>
            </w:r>
            <w:r>
              <w:rPr>
                <w:spacing w:val="7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срок</w:t>
            </w:r>
            <w:r>
              <w:rPr>
                <w:spacing w:val="6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до</w:t>
            </w:r>
            <w:r>
              <w:rPr>
                <w:spacing w:val="7"/>
                <w:sz w:val="24"/>
                <w:highlight w:val="white"/>
              </w:rPr>
              <w:t xml:space="preserve"> </w:t>
            </w:r>
            <w:r>
              <w:rPr>
                <w:spacing w:val="-5"/>
                <w:sz w:val="24"/>
                <w:highlight w:val="white"/>
              </w:rPr>
              <w:t xml:space="preserve">3-</w:t>
            </w:r>
            <w:r>
              <w:rPr>
                <w:sz w:val="24"/>
                <w:highlight w:val="white"/>
              </w:rPr>
              <w:t xml:space="preserve">х </w:t>
            </w:r>
            <w:r>
              <w:rPr>
                <w:spacing w:val="-4"/>
                <w:sz w:val="24"/>
                <w:highlight w:val="white"/>
              </w:rPr>
              <w:t xml:space="preserve">лет;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настройка</w:t>
            </w:r>
            <w:r>
              <w:rPr>
                <w:spacing w:val="79"/>
                <w:sz w:val="24"/>
                <w:highlight w:val="white"/>
              </w:rPr>
              <w:t xml:space="preserve">  </w:t>
            </w:r>
            <w:r>
              <w:rPr>
                <w:sz w:val="24"/>
                <w:highlight w:val="white"/>
              </w:rPr>
              <w:t xml:space="preserve">таргетированной</w:t>
            </w:r>
            <w:r>
              <w:rPr>
                <w:spacing w:val="50"/>
                <w:sz w:val="24"/>
                <w:highlight w:val="white"/>
              </w:rPr>
              <w:t xml:space="preserve">  </w:t>
            </w:r>
            <w:r>
              <w:rPr>
                <w:sz w:val="24"/>
                <w:highlight w:val="white"/>
              </w:rPr>
              <w:t xml:space="preserve">и</w:t>
            </w:r>
            <w:r>
              <w:rPr>
                <w:spacing w:val="50"/>
                <w:sz w:val="24"/>
                <w:highlight w:val="white"/>
              </w:rPr>
              <w:t xml:space="preserve">  </w:t>
            </w:r>
            <w:r>
              <w:rPr>
                <w:sz w:val="24"/>
                <w:highlight w:val="white"/>
              </w:rPr>
              <w:t xml:space="preserve">контекстной</w:t>
            </w:r>
            <w:r>
              <w:rPr>
                <w:spacing w:val="79"/>
                <w:sz w:val="24"/>
                <w:highlight w:val="white"/>
              </w:rPr>
              <w:t xml:space="preserve">  </w:t>
            </w:r>
            <w:r>
              <w:rPr>
                <w:sz w:val="24"/>
                <w:highlight w:val="white"/>
              </w:rPr>
              <w:t xml:space="preserve">рекламы</w:t>
            </w:r>
            <w:r>
              <w:rPr>
                <w:spacing w:val="50"/>
                <w:sz w:val="24"/>
                <w:highlight w:val="white"/>
              </w:rPr>
              <w:t xml:space="preserve"> 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50"/>
                <w:sz w:val="24"/>
                <w:highlight w:val="white"/>
              </w:rPr>
              <w:t xml:space="preserve">  </w:t>
            </w:r>
            <w:r>
              <w:rPr>
                <w:spacing w:val="-4"/>
                <w:sz w:val="24"/>
                <w:highlight w:val="white"/>
              </w:rPr>
              <w:t xml:space="preserve">сети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ind w:left="0"/>
              <w:jc w:val="both"/>
              <w:rPr>
                <w:sz w:val="24"/>
                <w:highlight w:val="white"/>
              </w:rPr>
            </w:pPr>
            <w:r>
              <w:rPr>
                <w:spacing w:val="-2"/>
                <w:sz w:val="24"/>
                <w:highlight w:val="white"/>
              </w:rPr>
              <w:t xml:space="preserve">«Интернет»;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287" w:leader="none"/>
              </w:tabs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разработка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брендбука</w:t>
            </w:r>
            <w:r>
              <w:rPr>
                <w:sz w:val="24"/>
                <w:highlight w:val="white"/>
              </w:rPr>
              <w:t xml:space="preserve"> (фирменного </w:t>
            </w:r>
            <w:r>
              <w:rPr>
                <w:spacing w:val="-2"/>
                <w:sz w:val="24"/>
                <w:highlight w:val="white"/>
              </w:rPr>
              <w:t xml:space="preserve">стиля);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287" w:leader="none"/>
              </w:tabs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изготовление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и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размещение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наружной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 xml:space="preserve">рекламы;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287" w:leader="none"/>
              </w:tabs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разработка</w:t>
            </w:r>
            <w:r>
              <w:rPr>
                <w:spacing w:val="-1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рекламно-полиграфической</w:t>
            </w:r>
            <w:r>
              <w:rPr>
                <w:spacing w:val="-12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 xml:space="preserve">продукции;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287" w:leader="none"/>
              </w:tabs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изготовление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фото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-</w:t>
            </w:r>
            <w:r>
              <w:rPr>
                <w:spacing w:val="-2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и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видео-материалов</w:t>
            </w:r>
            <w:r>
              <w:rPr>
                <w:spacing w:val="-3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рекламного</w:t>
            </w:r>
            <w:r>
              <w:rPr>
                <w:spacing w:val="-2"/>
                <w:sz w:val="24"/>
                <w:highlight w:val="white"/>
              </w:rPr>
              <w:t xml:space="preserve"> характера;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287" w:leader="none"/>
              </w:tabs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разработка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лендинга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(одностраничного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 xml:space="preserve">сайта);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287" w:leader="none"/>
              </w:tabs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написание бизнес-плана, в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том числе в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целях получения </w:t>
            </w:r>
            <w:r>
              <w:rPr>
                <w:spacing w:val="-2"/>
                <w:sz w:val="24"/>
                <w:highlight w:val="white"/>
              </w:rPr>
              <w:t xml:space="preserve">микрозайма</w:t>
            </w:r>
            <w:r>
              <w:rPr>
                <w:spacing w:val="-2"/>
                <w:sz w:val="24"/>
                <w:highlight w:val="white"/>
              </w:rPr>
              <w:t xml:space="preserve">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акселерационные</w:t>
            </w:r>
            <w:r>
              <w:rPr>
                <w:spacing w:val="-5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обучающие</w:t>
            </w:r>
            <w:r>
              <w:rPr>
                <w:spacing w:val="-4"/>
                <w:sz w:val="24"/>
                <w:highlight w:val="white"/>
              </w:rPr>
              <w:t xml:space="preserve"> </w:t>
            </w:r>
            <w:r>
              <w:rPr>
                <w:spacing w:val="-2"/>
                <w:sz w:val="24"/>
                <w:highlight w:val="white"/>
              </w:rPr>
              <w:t xml:space="preserve">программы;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378" w:leader="none"/>
              </w:tabs>
              <w:ind w:left="0" w:right="96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поручительство</w:t>
            </w:r>
            <w:r>
              <w:rPr>
                <w:spacing w:val="8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Гарантийного</w:t>
            </w:r>
            <w:r>
              <w:rPr>
                <w:spacing w:val="8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фонда</w:t>
            </w:r>
            <w:r>
              <w:rPr>
                <w:spacing w:val="8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8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случае</w:t>
            </w:r>
            <w:r>
              <w:rPr>
                <w:spacing w:val="8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недостаточности</w:t>
            </w:r>
            <w:r>
              <w:rPr>
                <w:spacing w:val="40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залогового имущества;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pStyle w:val="1025"/>
              <w:tabs>
                <w:tab w:val="left" w:pos="246" w:leader="none"/>
              </w:tabs>
              <w:ind w:left="0"/>
              <w:jc w:val="both"/>
              <w:rPr>
                <w:sz w:val="24"/>
                <w:highlight w:val="white"/>
              </w:rPr>
            </w:pPr>
            <w:r>
              <w:rPr>
                <w:sz w:val="24"/>
                <w:highlight w:val="white"/>
              </w:rPr>
              <w:t xml:space="preserve">- грант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в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форме субсидии. Размер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гранта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– от 100</w:t>
            </w:r>
            <w:r>
              <w:rPr>
                <w:spacing w:val="-1"/>
                <w:sz w:val="24"/>
                <w:highlight w:val="white"/>
              </w:rPr>
              <w:t xml:space="preserve"> </w:t>
            </w:r>
            <w:r>
              <w:rPr>
                <w:sz w:val="24"/>
                <w:highlight w:val="white"/>
              </w:rPr>
              <w:t xml:space="preserve">до 500 тыс. </w:t>
            </w:r>
            <w:r>
              <w:rPr>
                <w:spacing w:val="-2"/>
                <w:sz w:val="24"/>
                <w:highlight w:val="white"/>
              </w:rPr>
              <w:t xml:space="preserve">рублей;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- налоговые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льготы: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УСН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«Доходы»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-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1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%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УСН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«Доходы</w:t>
            </w:r>
            <w:r>
              <w:rPr>
                <w:rFonts w:ascii="Times New Roman" w:hAnsi="Times New Roman" w:cs="Times New Roman"/>
                <w:spacing w:val="80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минус расходы» - 5 %.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25"/>
              <w:tabs>
                <w:tab w:val="left" w:pos="3484" w:leader="none"/>
              </w:tabs>
              <w:ind w:left="0" w:right="95"/>
              <w:jc w:val="center"/>
              <w:rPr>
                <w:sz w:val="24"/>
                <w:highlight w:val="white"/>
              </w:rPr>
            </w:pPr>
            <w:r>
              <w:rPr>
                <w:sz w:val="24"/>
                <w:highlight w:val="none"/>
              </w:rPr>
              <w:t xml:space="preserve">Выполнено</w:t>
            </w:r>
            <w:r>
              <w:rPr>
                <w:sz w:val="24"/>
                <w:highlight w:val="white"/>
              </w:rPr>
            </w:r>
            <w:r>
              <w:rPr>
                <w:sz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6.8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Направление сведений о субъектах МСП, включенных в перечень социальных предприятий края, в Федеральную налоговую службу для внесения указанного статуса в Единый реестр субъектов малого и среднего предпринимательства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Минэконом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ежегодно до 5 июля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pacing w:val="-2"/>
                <w:highlight w:val="white"/>
              </w:rPr>
              <w:t xml:space="preserve">Сведения </w:t>
            </w:r>
            <w:r>
              <w:rPr>
                <w:rFonts w:ascii="Times New Roman" w:hAnsi="Times New Roman" w:cs="Times New Roman"/>
                <w:spacing w:val="-10"/>
                <w:highlight w:val="white"/>
              </w:rPr>
              <w:t xml:space="preserve">о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highlight w:val="white"/>
              </w:rPr>
              <w:t xml:space="preserve">субъектах </w:t>
            </w:r>
            <w:r>
              <w:rPr>
                <w:rFonts w:ascii="Times New Roman" w:hAnsi="Times New Roman" w:cs="Times New Roman"/>
                <w:spacing w:val="-4"/>
                <w:highlight w:val="white"/>
              </w:rPr>
              <w:t xml:space="preserve">МСП, </w:t>
            </w:r>
            <w:r>
              <w:rPr>
                <w:rFonts w:ascii="Times New Roman" w:hAnsi="Times New Roman" w:cs="Times New Roman"/>
                <w:spacing w:val="-2"/>
                <w:highlight w:val="white"/>
              </w:rPr>
              <w:t xml:space="preserve">признанными</w:t>
            </w:r>
            <w:r>
              <w:rPr>
                <w:rFonts w:ascii="Times New Roman" w:hAnsi="Times New Roman" w:cs="Times New Roman"/>
                <w:highlight w:val="white"/>
              </w:rPr>
              <w:tab/>
              <w:t xml:space="preserve"> </w:t>
            </w:r>
            <w:r>
              <w:rPr>
                <w:rFonts w:ascii="Times New Roman" w:hAnsi="Times New Roman" w:cs="Times New Roman"/>
                <w:spacing w:val="-2"/>
                <w:highlight w:val="white"/>
              </w:rPr>
              <w:t xml:space="preserve">социальными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предпринимателями направлены в ФНС России.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pacing w:val="-2"/>
                <w:highlight w:val="white"/>
              </w:rPr>
            </w:pPr>
            <w:r>
              <w:rPr>
                <w:rFonts w:ascii="Times New Roman" w:hAnsi="Times New Roman" w:cs="Times New Roman"/>
                <w:spacing w:val="-2"/>
                <w:highlight w:val="none"/>
              </w:rPr>
              <w:t xml:space="preserve">Выполнено</w:t>
            </w:r>
            <w:r>
              <w:rPr>
                <w:rFonts w:ascii="Times New Roman" w:hAnsi="Times New Roman" w:cs="Times New Roman"/>
                <w:spacing w:val="-2"/>
                <w:highlight w:val="white"/>
              </w:rPr>
            </w:r>
            <w:r>
              <w:rPr>
                <w:rFonts w:ascii="Times New Roman" w:hAnsi="Times New Roman" w:cs="Times New Roman"/>
                <w:spacing w:val="-2"/>
                <w:highlight w:val="white"/>
              </w:rPr>
            </w:r>
          </w:p>
        </w:tc>
      </w:tr>
      <w:tr>
        <w:trPr>
          <w:trHeight w:val="14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6.9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Выявление и масштабирование лучших социальных проектов в крае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Минэконом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Минобр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, Минздрав,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Минкульт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Минспорт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отчет до 25 декабря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b/>
                <w:color w:val="auto"/>
                <w:sz w:val="24"/>
                <w:szCs w:val="24"/>
                <w:highlight w:val="white"/>
              </w:rPr>
            </w:pP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  <w:t xml:space="preserve">:</w:t>
            </w:r>
            <w:r>
              <w:rPr>
                <w:b/>
                <w:color w:val="auto"/>
                <w:sz w:val="24"/>
                <w:szCs w:val="24"/>
                <w:highlight w:val="white"/>
              </w:rPr>
            </w:r>
            <w:r>
              <w:rPr>
                <w:b/>
                <w:color w:val="auto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1) Инициатива «Ресурсный центр адаптивных игр» одобрена Форумом «Сильные идеи для нового времени», автор проекта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Кохан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С.Т., В настоящее время Це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нтр успешно функционирует, закуплено необходимое оборудование, инвентарь и т.д. Проведено обучение 125 специалистов, которые проводят работу, в том числе в районах Забайкальского края (100 человек прошли обучение в  Общероссийской общественной организации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«Федерация настольных спортивных игр России», 25 человек в ФГБОУ ВО «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ЗабГУ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»). В Ресурсном центре организована работа по проведению занятий адаптивными играми, в том числе в районах края посредством онлайн-трансляций.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pPr>
            <w:r>
              <w:rPr>
                <w:rFonts w:eastAsia="Times New Roman"/>
                <w:color w:val="auto"/>
                <w:szCs w:val="28"/>
                <w:highlight w:val="white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) С 2020 года внедрена практика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Смартеки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: «Как повысить качество жизни пожилых людей?». Результатом реализации практики является обеспечение  пожилым гражданам,  поддержки их автономности, самореализации, здоровья, качества жизни, предоставления им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право выбора формы социального обслуживания (на дому, в полустационарной форме социального обслуживания, стационарной форме социального обслуживания или их сочетание), технологий социального обслуживания или сочетания данных форм и технологий одновременно;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</w:p>
          <w:p>
            <w:pPr>
              <w:tabs>
                <w:tab w:val="left" w:pos="709" w:leader="none"/>
              </w:tabs>
              <w:ind w:hanging="10"/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3) Внедрена практика «Как уменьшить количество семей с детьми, находящихся в социально опасном положении?»,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целью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 которой является профилактика детского и семейного неблагополучия, снижение числа детей, находящихся в социально опасном положении;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</w:p>
          <w:p>
            <w:pPr>
              <w:tabs>
                <w:tab w:val="left" w:pos="709" w:leader="none"/>
              </w:tabs>
              <w:jc w:val="both"/>
              <w:rPr>
                <w:rFonts w:ascii="Times New Roman" w:hAnsi="Times New Roman" w:eastAsia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4) В целях расширения системы предоставления социальных услуг гражданам реализуется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стационарозамещающая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  технология «Передышка», в рамках которой осуществляется краткосрочное освобождение семьи от постоянного ухода за инвалидом, предоставление возможности членам семьи восстановить силы, решить бытовые вопросы. </w:t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none"/>
              </w:rPr>
            </w:r>
          </w:p>
          <w:p>
            <w:pPr>
              <w:tabs>
                <w:tab w:val="left" w:pos="709" w:leader="none"/>
              </w:tabs>
              <w:jc w:val="both"/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szCs w:val="28"/>
                <w:highlight w:val="none"/>
              </w:rPr>
              <w:t xml:space="preserve">Минобр:</w:t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auto"/>
                <w:highlight w:val="none"/>
              </w:rPr>
            </w:r>
          </w:p>
          <w:p>
            <w:pPr>
              <w:tabs>
                <w:tab w:val="left" w:pos="709" w:leader="none"/>
              </w:tabs>
              <w:jc w:val="both"/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none"/>
              </w:rPr>
              <w:t xml:space="preserve">Практики в систе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none"/>
              </w:rPr>
              <w:t xml:space="preserve">ме образования </w:t>
              <w:br/>
              <w:t xml:space="preserve">Забайкальского края: проект госпитальных школ «Учим.Знаем» Забайкальский край; проект «Аттестат+первая профессия»; проект «Интерактивная карта профессиональных образовательных организаций и образовательных организаций высшего образования» (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none"/>
                <w:lang w:val="en-US"/>
              </w:rPr>
              <w:t xml:space="preserve">https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none"/>
                <w:lang w:val="ru-RU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none"/>
                <w:lang w:val="en-US"/>
              </w:rPr>
              <w:t xml:space="preserve">//copp75.ru/college-map)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none"/>
                <w:lang w:val="ru-RU"/>
              </w:rPr>
              <w:t xml:space="preserve">и др.</w:t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b/>
                <w:color w:val="auto"/>
                <w:szCs w:val="28"/>
                <w:highlight w:val="white"/>
              </w:rPr>
              <w:t xml:space="preserve">Минздрав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: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Подведомственными Министерству учреждениями в настоящее время внедряются и масштабируются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лучшие социальные проекты: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1) Подготовка добровольцев (волонтёров) по направлению «Содействие популяризации здорового образа жизни и профилактики заболеваний».  Добровольческая (волонтёрская) деятельн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ость в сфере здравоохранения признана повысить качество жизни граждан на популяционном уровне, оказывать информационную, просветительскую поддержку, направленную на формирование здорового образа жизни, профилактику заболеваний и факторов риска их развития;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2) «Помогай правильно» - данная проектная идея представляет собой курсы, на которых люди будут узнавать о правилах оказания доврачебной помощи, также эту информацию можно будет получить в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телеграм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-канале, где будут подробно расписаны действия при различных ситуациях;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3) Обеспечение кадрами учреждений здравоохранения и образовательных учреждений в сельской местности и малых населенных пунктах. Предлагается вернуть в ВУЗы и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ССУЗы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 медицинского и педагогиче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ского профиля распределение по регионам, исходя из заявок с мест. Обязательным и главным условием этого, требуется ввести не менее половины бюджетных мест, полностью бесплатных для студента - обучение, проживание, питание, возможно и увеличенная стипендия.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4) «Медицинский кадет». Создание военно-медицинских корпусов по формированию навыков по доврачебной медицинской само- и взаимопомощи лицам, участвующим или находящимся в условиях боевых действий. Проект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организован для студентов средних профессиональных образовательных учреждений. Формирования патриотического воспитания и духа самоотверженности  среди молодежи.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</w:r>
          </w:p>
          <w:p>
            <w:pPr>
              <w:jc w:val="both"/>
              <w:rPr>
                <w:rFonts w:eastAsia="Times New Roman" w:cs="Times New Roman"/>
                <w:color w:val="auto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5) 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«Вектор будущего. Здравоохранение». В течение 2023 года на территории Забайкальского края АНО "Поколение уверенного будущего" при организационной поддержке Министерства здравоохранения Забайкальского края и Читинского медицинского колледжа был реализован с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оциально-образовательный проект "Школа проектных технологий "Вектор будущего -  здравоохранение". Участниками проекта стали более 200 студентов образовательных организаций системы здравоохранения края, а также студенты Мариупольского государственного униве</w:t>
            </w:r>
            <w:r>
              <w:rPr>
                <w:rFonts w:ascii="Times New Roman" w:hAnsi="Times New Roman" w:eastAsia="Times New Roman" w:cs="Times New Roman"/>
                <w:color w:val="auto"/>
                <w:szCs w:val="28"/>
                <w:highlight w:val="white"/>
              </w:rPr>
              <w:t xml:space="preserve">рситета. Целью проекта является формирование системы мотивации медицинских кадров на базе профессионального образования (средний медицинский персонал) для привлечения в систему здравоохранения края на контрактной основе в отдаленные населенные пункты края.</w:t>
            </w:r>
            <w:r>
              <w:rPr>
                <w:rFonts w:eastAsia="Times New Roman" w:cs="Times New Roman"/>
                <w:color w:val="auto"/>
                <w:highlight w:val="white"/>
              </w:rPr>
            </w:r>
            <w:r>
              <w:rPr>
                <w:rFonts w:eastAsia="Times New Roman" w:cs="Times New Roman"/>
                <w:color w:val="auto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b w:val="0"/>
                <w:bCs w:val="0"/>
                <w:color w:val="auto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auto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b w:val="0"/>
                <w:bCs w:val="0"/>
                <w:color w:val="auto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color w:val="auto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pacing w:line="240" w:lineRule="auto"/>
              <w:jc w:val="center"/>
              <w:rPr>
                <w:rStyle w:val="1018"/>
                <w:b/>
                <w:sz w:val="24"/>
                <w:szCs w:val="24"/>
              </w:rPr>
            </w:pPr>
            <w:r>
              <w:rPr>
                <w:rStyle w:val="1018"/>
                <w:b/>
                <w:sz w:val="24"/>
                <w:szCs w:val="24"/>
              </w:rPr>
              <w:t xml:space="preserve">7. Стандарт поддержки добровольчества (</w:t>
            </w:r>
            <w:r>
              <w:rPr>
                <w:rStyle w:val="1018"/>
                <w:b/>
                <w:sz w:val="24"/>
                <w:szCs w:val="24"/>
              </w:rPr>
              <w:t xml:space="preserve">волонтерства</w:t>
            </w:r>
            <w:r>
              <w:rPr>
                <w:rStyle w:val="1018"/>
                <w:b/>
                <w:sz w:val="24"/>
                <w:szCs w:val="24"/>
              </w:rPr>
              <w:t xml:space="preserve">)</w:t>
            </w:r>
            <w:r>
              <w:rPr>
                <w:rStyle w:val="1018"/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pacing w:line="240" w:lineRule="auto"/>
              <w:jc w:val="center"/>
              <w:rPr>
                <w:rStyle w:val="1018"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  <w:r>
              <w:rPr>
                <w:rStyle w:val="1018"/>
                <w:b/>
                <w:sz w:val="24"/>
                <w:szCs w:val="24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Увеличение количества волонтеров, вовлеченных в добровольческую деятельность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«Региональный ресурсный центр поддержки добровольчества (</w:t>
            </w:r>
            <w:r>
              <w:rPr>
                <w:sz w:val="24"/>
                <w:szCs w:val="24"/>
              </w:rPr>
              <w:t xml:space="preserve">волонтерства</w:t>
            </w:r>
            <w:r>
              <w:rPr>
                <w:sz w:val="24"/>
                <w:szCs w:val="24"/>
              </w:rPr>
              <w:t xml:space="preserve">)»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ежегодно,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отчет до 25 декабря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Количество волонтёров на конец декабря 2023 года составляло 9 000 человек, по данным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Добро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.р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ф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по состоянию на 1 декабря 2024 года на территории Забайкальского края численность волонтёров составляет 38 921 человек, количество волонтёров увеличилось на 29 921 человек.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6375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Информирование населения о ведении добровольческой (волонтерской) деятельности на территории края (публикации в социальных сетях, выступления на телевидении, радио, СМИ и т.д.)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МинРГО</w:t>
            </w:r>
            <w:r>
              <w:rPr>
                <w:rStyle w:val="971"/>
                <w:sz w:val="24"/>
                <w:szCs w:val="24"/>
              </w:rPr>
              <w:t xml:space="preserve">, подведомственные организации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ежеквартально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Информирование населения региона о ведении добровольческой (волонтерской) деятельности на территории края ведется</w:t>
            </w:r>
            <w:r>
              <w:rPr>
                <w:rFonts w:ascii="Times New Roman" w:hAnsi="Times New Roman" w:cs="Times New Roman"/>
                <w:highlight w:val="white"/>
              </w:rPr>
              <w:t xml:space="preserve"> на регулярной основе. Информация размещена на Официальном портале Забайкальского края (75.ru), официальных сайтах органов исполнительной власти и муниципальных органов Забайкальского края, организаций и учреждений региона, в средствах массовой информации </w:t>
            </w:r>
            <w:r>
              <w:rPr>
                <w:rFonts w:ascii="Times New Roman" w:hAnsi="Times New Roman" w:cs="Times New Roman"/>
                <w:highlight w:val="white"/>
              </w:rPr>
              <w:t xml:space="preserve">(мониторинг средств массовой информации региона прилагается). Всего за период с 1 января 2024 года по настоящее время в информационном поле Забайкальского края размещено 1000 материалов. Общий охват новостными материалами составляет более 900 тыс. человек.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Информирование населения о добровольческой деятельности на территории Забайкальского края осуществляется через следующие мероприятия: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Образовательная деятельность:</w:t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1) Региональным ресурсным центром поддержки добровольчества (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волонтерства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) Забайкальского края (далее – Ресурсным це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нтром) ежегодно реализуются образовательные программы выездных семинаров. Образовательные выездные семинары проводятся в муниципальных образованиях региона, и направлены на повышение уровня информированности участников о добровольческом движении в России ч</w:t>
            </w:r>
            <w:r>
              <w:rPr>
                <w:rFonts w:ascii="Times New Roman" w:hAnsi="Times New Roman" w:cs="Times New Roman"/>
                <w:szCs w:val="28"/>
                <w:highlight w:val="white"/>
                <w:shd w:val="clear" w:color="auto" w:fill="ffffff"/>
              </w:rPr>
              <w:t xml:space="preserve">ерез продвижение ценностей и практик добровольчества (</w:t>
            </w:r>
            <w:r>
              <w:rPr>
                <w:rFonts w:ascii="Times New Roman" w:hAnsi="Times New Roman" w:cs="Times New Roman"/>
                <w:szCs w:val="28"/>
                <w:highlight w:val="white"/>
                <w:shd w:val="clear" w:color="auto" w:fill="ffffff"/>
              </w:rPr>
              <w:t xml:space="preserve">волонтерства</w:t>
            </w:r>
            <w:r>
              <w:rPr>
                <w:rFonts w:ascii="Times New Roman" w:hAnsi="Times New Roman" w:cs="Times New Roman"/>
                <w:szCs w:val="28"/>
                <w:highlight w:val="white"/>
                <w:shd w:val="clear" w:color="auto" w:fill="ffffff"/>
              </w:rPr>
              <w:t xml:space="preserve">). 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Программа проходит в течение одного-двух дней и включает образовательный, полезный и досуговый модуль. Рекомендуемое количество участников – от 50 до 250 человек.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2) Презентации единой платформы «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Добро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.р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у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» и 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онлайн-университета социальных наук «Добро. Университет». В течение года сотрудники Ресурсного центра проводят очные презентации платформ среди обучающихся образовательных организаций. Слушателями становятся около 2000 тыс. человек в год.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3) Проведение обучающих 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квест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-игр по добровольчеству в общеобразовательных школах 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г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.Ч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иты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 с целью погружения в тематику добровольчества и знакомства с различными направления добровольческой деятельности.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Форумная</w:t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 кампания:</w:t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Министерс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твом развития гражданского общества, муниципальных образований и молодежной политики регулярно осуществляется информирование муниципальных образований, образовательных организаций о проведении международных, всероссийских, окружных добровольческих форумов.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 Добровольцы Забайкальского края ежегодно участвуют в крупных форумах: Международный форум #МЫВМЕСТЕ, Окружной форум серебряных волонтёров.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 В 2024 году проведен первый Дальневосточный форум волонтеров СВО, участниками которого стали свыше 1500 человек.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  <w:t xml:space="preserve">Информационная кампания:</w:t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b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С целью информирования населения о добровольческой деятельности в СМИ регулярно ведутся официальные страницы в социальной сети «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ВКонтакте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». На официальном портале Правительства Забайкальского края публикуется информация о добровольческих событиях в стране и регионе.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С целью популяризации идей добровольчества Ресурсным центром  реализуется проект «Смысл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 Е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сть». Участниками проекта становятся добровольцы Забайкалья, которые в видеосюжетах рассказывают о своей деятельности, затем видеоролики транслируются в социальных сетях и видео хостингах.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В феврал</w:t>
            </w: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е 2024 года началась активная деятельность по развитию официальной страницы сообщества «Молодежная политика Забайкальского края». По состоянию на 1 декабря 2024 года численность участников составляет 535 человек, это больше на 19%, чем в феврале 2024 года.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b/>
                <w:sz w:val="24"/>
                <w:szCs w:val="24"/>
              </w:rPr>
            </w:pPr>
            <w:r>
              <w:rPr>
                <w:rStyle w:val="971"/>
                <w:rFonts w:eastAsia="Courier New"/>
                <w:b/>
                <w:sz w:val="24"/>
                <w:szCs w:val="24"/>
              </w:rPr>
              <w:t xml:space="preserve">8. Стандарт вовлечения граждан в развитие городской среды</w:t>
            </w:r>
            <w:r>
              <w:rPr>
                <w:rStyle w:val="971"/>
                <w:rFonts w:eastAsia="Courier New"/>
                <w:b/>
                <w:sz w:val="24"/>
                <w:szCs w:val="24"/>
              </w:rPr>
            </w:r>
            <w:r>
              <w:rPr>
                <w:rStyle w:val="971"/>
                <w:rFonts w:eastAsia="Courier New"/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b/>
                <w:sz w:val="24"/>
                <w:szCs w:val="24"/>
              </w:rPr>
            </w:pPr>
            <w:r>
              <w:rPr>
                <w:rFonts w:eastAsia="Courier New"/>
                <w:b/>
                <w:sz w:val="24"/>
                <w:szCs w:val="24"/>
              </w:rPr>
            </w:r>
            <w:r>
              <w:rPr>
                <w:rStyle w:val="971"/>
                <w:rFonts w:eastAsia="Courier New"/>
                <w:b/>
                <w:sz w:val="24"/>
                <w:szCs w:val="24"/>
              </w:rPr>
            </w:r>
            <w:r>
              <w:rPr>
                <w:rStyle w:val="971"/>
                <w:rFonts w:eastAsia="Courier New"/>
                <w:b/>
                <w:sz w:val="24"/>
                <w:szCs w:val="24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8.1.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Предварительный сбор предложений от населения по общественным территориям, которые необходимо благоустроить в первоочередном порядке (общественные обсуждения)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«Региональная рабочая группа по организации и проведению Всероссийского голосования по отбору территорий, подлежащих благоустройству в первоочередном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порядке в 2024 году», м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униципальные образования Забайкальского края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1 февраля 2024 г.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МинЖКХ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проведена работа по сбору предложений от населения по общественным территориям, которые необходимо благоустроить в первоочередном порядке, и загрузке на единую платформу za.gorodsreda.ru перечня территорий для онлайн голосования.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8.2.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Формирование на единой федеральной платформе za.gorodsreda.ru перечня территории для онлайн голосования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«Региональная рабочая группа по организации и проведению Всероссийского голосования по отбору территорий, подлежащих благоустройству в первоочередном порядке в 2024 году», муниципальные образования Забайкальского края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14 марта 2024 г.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В перечень территорий вошли 76 общественных территорий из 27 населенных пунктов. 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8.3.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Обеспечение участия граждан от 14 лет, проживающих в муниципальных образованиях, на территории которых реализуются проекты по созданию комфортной городской среды, в онлайн голосовании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«Региональная рабочая группа по организации и проведению Всероссийского голосования по отбору территорий, подлежащих благоустройству в первоочередном порядке в 2024 году»,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муниципальные образования Забайкальского края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30 апреля 2024 г.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Онлайн голосование по выбору общественной территории для благоустройства в первоочередном порядке в 2025 году проходит с 15 марта 2024 года по 30 апреля 2024 года. Обеспечено участие граждан в онлайн голосовании в количестве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br/>
              <w:t xml:space="preserve">32 895 человек.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8.4.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Агитация граждан для участия в онлайн голосовании: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numPr>
                <w:numId w:val="3"/>
                <w:ilvl w:val="0"/>
              </w:numPr>
              <w:shd w:val="clear" w:color="auto" w:fill="auto"/>
              <w:tabs>
                <w:tab w:val="left" w:pos="378" w:leader="none"/>
              </w:tabs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через авторизацию на портале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Госуслуг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(требуется подтвержденная учётная запись и пароль);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  <w:p>
            <w:pPr>
              <w:pStyle w:val="1002"/>
              <w:numPr>
                <w:numId w:val="3"/>
                <w:ilvl w:val="0"/>
              </w:numPr>
              <w:shd w:val="clear" w:color="auto" w:fill="auto"/>
              <w:tabs>
                <w:tab w:val="left" w:pos="169" w:leader="none"/>
              </w:tabs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через волонтера (подтверждение через СМС-код на телефон гражданина, который хочет проголосовать)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«Региональная рабочая группа по организации и проведению Всероссийского голосования по отбору территорий, подлежащих благоустройству в первоочередном порядке в 2024 году», АНО «Диалог Регионы» - «Центр управления регионом» в Забайкальском крае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г.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 1 марта по 17 марта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Осуществлялось в установленном порядке.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8.5.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Информирование населения о проведении онлайн голосования в Забайкальском крае по выбору общественных территорий для благоустройства, в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т.ч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. проведение встреч со студентами высших учебных заведений, коллективами крупных организаций с привлечением волонтеров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«Региональная рабочая группа по организации и проведению Всероссийского голосования по отбору территорий, подлежащих благоустройству в первоочередном порядке в 2024 году»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г.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 18 марта по 30 апреля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Осуществлялось в установленном порядке.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8.6.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Публикация агитационных роликов в социальных сетях, выступления на телевидении, радио и т.д.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«Региональная рабочая группа по организации и проведению Всероссийского голосования по отбору территорий, подлежащих благоустройству в первоочередном порядке в 2024 году»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год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 18 марта по 30 апреля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года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Осуществлялось в установленном порядке.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8.7.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Ежедневный свод данных в разрезе муниципальных образований края и территорий, участвующих в голосовании, на предмет достижения установленного Минстроем России KPI (светофор)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«Региональная рабочая группа по организации и проведению Всероссийского голосования по отбору территорий, подлежащих благоустройству в первоочередном порядке в 2024 году», АНО «Диалог Регионы» - «Центр управления регионом» в Забайкальском крае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год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 18 марта по 30 апреля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года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Онлайн голосование по выбору общественной территории для благоустройства в первоочередном порядке в 2025 году проходит с 15 марта 2024 года по 30 апреля 2024 года. Обеспечено участие граждан в онлайн голосовании в количестве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br/>
              <w:t xml:space="preserve">32 895 человек.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8.8.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Подведение итогов голосования с утверждением территорий-победителей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«Региональная рабочая группа по организации и проведению Всероссийского голосования по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отбору территорий, подлежащих благоустройству в первоочередном порядке в 2024 году»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год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 18 марта по 30 апреля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2024 года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Определены территории, подлежащие благоустройству в первоочередном порядке в 2024 году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1018"/>
                <w:rFonts w:eastAsia="Courier New"/>
                <w:b/>
                <w:sz w:val="24"/>
                <w:szCs w:val="24"/>
              </w:rPr>
              <w:t xml:space="preserve">9. Региональная инфраструктура социальной поддержки граждан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1018"/>
                <w:rFonts w:eastAsia="Courier New"/>
                <w:b/>
                <w:sz w:val="24"/>
                <w:szCs w:val="24"/>
              </w:rPr>
            </w:pPr>
            <w:r>
              <w:rPr>
                <w:rFonts w:eastAsia="Courier New"/>
                <w:b/>
                <w:sz w:val="24"/>
                <w:szCs w:val="24"/>
              </w:rPr>
            </w:r>
            <w:r>
              <w:rPr>
                <w:rStyle w:val="1018"/>
                <w:rFonts w:eastAsia="Courier New"/>
                <w:b/>
                <w:sz w:val="24"/>
                <w:szCs w:val="24"/>
              </w:rPr>
            </w:r>
            <w:r>
              <w:rPr>
                <w:rStyle w:val="1018"/>
                <w:rFonts w:eastAsia="Courier New"/>
                <w:b/>
                <w:sz w:val="24"/>
                <w:szCs w:val="24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9.1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Развитие деятельности центров кратковременного пребывания для детей с ограниченными возможностями здоровья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В подведомстве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нных учреждениях Министерства функционируют группы кратковременного пребывания детей с ограниченными возможностями здоровья (66 мест). В 2023 году в рамках ГКП услуги получили 83 ребенка-инвалида. За   2024 года услугами ГКП воспользовались 86 детей с ОВЗ.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17"/>
              <w:spacing w:before="0" w:beforeAutospacing="0" w:after="0" w:afterAutospacing="0"/>
              <w:jc w:val="both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highlight w:val="white"/>
              </w:rPr>
              <w:t xml:space="preserve">Развитие деятельности «Семейные многофункциональные центры»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2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  <w:t xml:space="preserve">В 2023 году создан</w:t>
            </w:r>
            <w:r>
              <w:rPr>
                <w:rFonts w:ascii="Times New Roman" w:hAnsi="Times New Roman" w:cs="Times New Roman"/>
                <w:highlight w:val="white"/>
              </w:rPr>
              <w:t xml:space="preserve"> «Семейный многофункциональный центр»</w:t>
            </w:r>
            <w:r>
              <w:rPr>
                <w:rFonts w:ascii="Times New Roman" w:hAnsi="Times New Roman" w:cs="Times New Roman"/>
                <w:bCs/>
                <w:highlight w:val="white"/>
              </w:rPr>
              <w:t xml:space="preserve">  на базе </w:t>
            </w:r>
            <w:r>
              <w:rPr>
                <w:rFonts w:ascii="Times New Roman" w:hAnsi="Times New Roman" w:cs="Times New Roman"/>
                <w:highlight w:val="white"/>
              </w:rPr>
              <w:t xml:space="preserve">ГУСО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Ингодинский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комплексный центр социального обслуживания «Милосердие» Забайкальского края. 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4 сентября 2024 года состоялось открытие «Семейного многофункционального центра» на базе ГАУСО «</w:t>
            </w:r>
            <w:r>
              <w:rPr>
                <w:rFonts w:ascii="Times New Roman" w:hAnsi="Times New Roman" w:cs="Times New Roman"/>
                <w:highlight w:val="white"/>
              </w:rPr>
              <w:t xml:space="preserve">Шерловогорский</w:t>
            </w:r>
            <w:r>
              <w:rPr>
                <w:rFonts w:ascii="Times New Roman" w:hAnsi="Times New Roman" w:cs="Times New Roman"/>
                <w:highlight w:val="white"/>
              </w:rPr>
              <w:t xml:space="preserve"> реабилитационный центр «Топаз» Забайкальского края.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7"/>
              <w:jc w:val="both"/>
              <w:rPr>
                <w:rFonts w:ascii="Times New Roman" w:hAnsi="Times New Roman" w:cs="Times New Roman"/>
                <w:bCs/>
                <w:highlight w:val="white"/>
              </w:rPr>
            </w:pP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  <w:r>
              <w:rPr>
                <w:rFonts w:ascii="Times New Roman" w:hAnsi="Times New Roman" w:cs="Times New Roman"/>
                <w:bCs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17"/>
              <w:spacing w:before="0" w:beforeAutospacing="0" w:after="0" w:afterAutospacing="0"/>
              <w:jc w:val="both"/>
              <w:rPr>
                <w:rStyle w:val="971"/>
                <w:sz w:val="24"/>
                <w:szCs w:val="24"/>
              </w:rPr>
            </w:pPr>
            <w:r>
              <w:t xml:space="preserve">Развитие деятельности кризисных отделений для безопасного пребывания женщин и детей, пострадавших от насилия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  <w:t xml:space="preserve">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На базе ГУСО «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Черновский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 комплексный центр социального обслуживания «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Берегиня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» Забайкальского края функционирует стационарное отделени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е помощи женщинам и женщинам с детьми на 10 мест, в задачу которого входит работа с женщинами, в том числе с детьми, женщинами, оказавшимися в трудной жизненной ситуации, в том числе подвергшимися психофизическому, семейному насилию, беременными женщинами.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Развитие сети инклюзивных творческих лабораторий </w:t>
            </w:r>
            <w:r>
              <w:rPr>
                <w:rStyle w:val="971"/>
                <w:sz w:val="24"/>
                <w:szCs w:val="24"/>
              </w:rPr>
              <w:t xml:space="preserve">на базе муниципальных учреждений культуры края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Минкульт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27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 Развитие сети инклюзивных творческих ла</w:t>
            </w:r>
            <w:r>
              <w:rPr>
                <w:rFonts w:ascii="Times New Roman" w:hAnsi="Times New Roman" w:cs="Times New Roman"/>
                <w:highlight w:val="none"/>
              </w:rPr>
              <w:t xml:space="preserve">бораторий на базе муниципальных учреждений культуры края ведется системная работа по развитию деятельности инклюзивной лаборатории «Путь к мечте!» городского округа «Город Петровск-Забайкальский». В городе проживает 1493 человека с врожденной и приобретенн</w:t>
            </w:r>
            <w:r>
              <w:rPr>
                <w:rFonts w:ascii="Times New Roman" w:hAnsi="Times New Roman" w:cs="Times New Roman"/>
                <w:highlight w:val="none"/>
              </w:rPr>
              <w:t xml:space="preserve">ой инвалидностью в возрасте от 0+ до 99 лет. Из них: домашних детей-инвалидов в возрасте до 18 лет. Кроме того, на территории города 4 учреждения социального типа, в которых проживает 192 ребенка-инвалида и 35 людей с инвалидностью в возрасте 18+ . Всего н</w:t>
            </w:r>
            <w:r>
              <w:rPr>
                <w:rFonts w:ascii="Times New Roman" w:hAnsi="Times New Roman" w:cs="Times New Roman"/>
                <w:highlight w:val="none"/>
              </w:rPr>
              <w:t xml:space="preserve">а территории Петровска-Забайкальского проживает инвалидов 1720 человек, что, в общей сложности, составляет 12% от общего числа населения. Лаборатория имеет соглашения о сотрудничестве с Российской Государственной специализированной академией искусств город</w:t>
            </w:r>
            <w:r>
              <w:rPr>
                <w:rFonts w:ascii="Times New Roman" w:hAnsi="Times New Roman" w:cs="Times New Roman"/>
                <w:highlight w:val="none"/>
              </w:rPr>
              <w:t xml:space="preserve"> Москва,с социальными учреждениями, образовательными учреждениями и общественными организациями города Петровск-Забайкальский. Координатор ИТЛ работает с руководителями учреждений социального типа на территории городского округа, в которых проживают и восп</w:t>
            </w:r>
            <w:r>
              <w:rPr>
                <w:rFonts w:ascii="Times New Roman" w:hAnsi="Times New Roman" w:cs="Times New Roman"/>
                <w:highlight w:val="none"/>
              </w:rPr>
              <w:t xml:space="preserve">итываются люди с инвалидностью всех возрастов, тесно взаимодействуют с клубом родителей детей-инвалидов, общественными организациями инвалидов, со всеми учреждениями культуры и узкопрофильными специалистами культуры по организации деятельности лаборатории.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27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Выполнено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Развитие сети организаций по оказанию услуг ранней помощи на базе муниципальных, дошкольных образовательных учреждений края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Минобр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В дошкольных образовательных организациях: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     по запросу родителей предоставляются консультационные услуги воспитателями, психологами, логопедами дошкольных образовательных организаций;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      созданы клубы, «Академии родительства», в которых проводятся занятия для адаптации детей раннего возраста, не посещающих дошкольные образовательные организации.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       Функционируют группы кратковременного пребывания в общеобразовательных организациях Забайкальского края.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        В 2024 году в 25 муниципальных образованиях края 314 детей до 1,5 лет приняты в дошкольные образовательные организации.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Выполнено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9.6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работы по предоставлению социально-психологических услуг семьям, воспитывающим детей с инвалидностью и особенностями здоровья</w:t>
            </w:r>
            <w:r>
              <w:rPr>
                <w:rStyle w:val="979"/>
                <w:sz w:val="24"/>
                <w:szCs w:val="24"/>
              </w:rPr>
            </w:r>
            <w:r>
              <w:rPr>
                <w:rStyle w:val="979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Минобр</w:t>
            </w:r>
            <w:r>
              <w:rPr>
                <w:rStyle w:val="971"/>
                <w:sz w:val="24"/>
                <w:szCs w:val="24"/>
              </w:rPr>
              <w:t xml:space="preserve">, </w:t>
            </w: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Оказывается психологическая помощь в установлении благ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оприятного внутрисемейного климата, консультирование родителей по вопросам воспитания детей, содействие в реализации внутреннего потенциала ребенка-инвалида и воспитывающей его семьи через вовлечение в творческую, физкультурно-оздоровительную деятельность.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  <w:t xml:space="preserve">Минобр:</w:t>
            </w: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Осуществляется в рамках деятельности подведомственных учреждений – Центр «Дар» и Центр «Семья».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В 2024 году организована деятельность 19 обособленных подразделений консультативных пунктов учреждений в 13 районах края.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 Количество оказанных услуг психолого-педагогической, методической и консультативной помощи - 62,75 тыс.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10. Навигатор мер поддержки в социальной сфере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Актуализация информации о мерах поддержки населения на ведомственных информационных сайтах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  <w:t xml:space="preserve">, </w:t>
            </w:r>
            <w:r>
              <w:rPr>
                <w:rStyle w:val="1018"/>
                <w:sz w:val="24"/>
                <w:szCs w:val="24"/>
              </w:rPr>
              <w:t xml:space="preserve">Минздрав,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1018"/>
                <w:sz w:val="24"/>
                <w:szCs w:val="24"/>
              </w:rPr>
            </w:pPr>
            <w:r>
              <w:rPr>
                <w:rStyle w:val="1018"/>
                <w:sz w:val="24"/>
                <w:szCs w:val="24"/>
              </w:rPr>
              <w:t xml:space="preserve">Минобр</w:t>
            </w:r>
            <w:r>
              <w:rPr>
                <w:rStyle w:val="1018"/>
                <w:sz w:val="24"/>
                <w:szCs w:val="24"/>
              </w:rPr>
              <w:t xml:space="preserve">, </w:t>
            </w:r>
            <w:r>
              <w:rPr>
                <w:rStyle w:val="1018"/>
                <w:sz w:val="24"/>
                <w:szCs w:val="24"/>
              </w:rPr>
              <w:t xml:space="preserve">Минкульт</w:t>
            </w:r>
            <w:r>
              <w:rPr>
                <w:rStyle w:val="1018"/>
                <w:sz w:val="24"/>
                <w:szCs w:val="24"/>
              </w:rPr>
              <w:t xml:space="preserve">,</w:t>
            </w:r>
            <w:r>
              <w:rPr>
                <w:rStyle w:val="1018"/>
                <w:sz w:val="24"/>
                <w:szCs w:val="24"/>
              </w:rPr>
            </w:r>
            <w:r>
              <w:rPr>
                <w:rStyle w:val="1018"/>
                <w:sz w:val="24"/>
                <w:szCs w:val="24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1018"/>
                <w:rFonts w:eastAsia="Courier New"/>
                <w:sz w:val="24"/>
                <w:szCs w:val="24"/>
              </w:rPr>
              <w:t xml:space="preserve">Минспорт</w:t>
            </w:r>
            <w:r>
              <w:rPr>
                <w:rStyle w:val="971"/>
                <w:sz w:val="24"/>
                <w:szCs w:val="24"/>
              </w:rPr>
              <w:t xml:space="preserve">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Информирование о мерах поддержки населения на ведомственных информационных сайтах осуществляется в постоянном режиме.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  <w:t xml:space="preserve">Минобр:</w:t>
            </w: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b/>
                <w:bCs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pPr>
            <w:r>
              <w:rPr>
                <w:rStyle w:val="971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</w:rPr>
              <w:t xml:space="preserve">Информация актуализируется на официальном сайте </w:t>
            </w:r>
            <w:r>
              <w:rPr>
                <w:rStyle w:val="971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en-US"/>
              </w:rPr>
            </w:r>
            <w:hyperlink r:id="rId16" w:tooltip="https://minobr.75.ru/," w:history="1">
              <w:r>
                <w:rPr>
                  <w:rStyle w:val="96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  <w:highlight w:val="none"/>
                  <w:lang w:val="en-US"/>
                </w:rPr>
                <w:t xml:space="preserve">https</w:t>
              </w:r>
              <w:r>
                <w:rPr>
                  <w:rStyle w:val="96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  <w:highlight w:val="none"/>
                  <w:lang w:val="ru-RU"/>
                </w:rPr>
                <w:t xml:space="preserve">://</w:t>
              </w:r>
              <w:r>
                <w:rPr>
                  <w:rStyle w:val="96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  <w:highlight w:val="none"/>
                  <w:lang w:val="en-US"/>
                </w:rPr>
                <w:t xml:space="preserve">minobr.75.ru/</w:t>
              </w:r>
              <w:r>
                <w:rPr>
                  <w:rStyle w:val="964"/>
                  <w:rFonts w:ascii="Times New Roman" w:hAnsi="Times New Roman" w:eastAsia="Times New Roman" w:cs="Times New Roman"/>
                  <w:b w:val="0"/>
                  <w:bCs w:val="0"/>
                  <w:sz w:val="24"/>
                  <w:szCs w:val="24"/>
                  <w:highlight w:val="none"/>
                  <w:lang w:val="ru-RU"/>
                </w:rPr>
                <w:t xml:space="preserve">,</w:t>
              </w:r>
            </w:hyperlink>
            <w:r>
              <w:rPr>
                <w:rStyle w:val="971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  <w:t xml:space="preserve"> размещается в социальных сетях и каналах ведомства.</w:t>
            </w:r>
            <w:r>
              <w:rPr>
                <w:rStyle w:val="971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  <w:r>
              <w:rPr>
                <w:rStyle w:val="971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</w:r>
          </w:p>
          <w:p>
            <w:pPr>
              <w:jc w:val="both"/>
              <w:rPr>
                <w:rStyle w:val="971"/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pPr>
            <w:r>
              <w:rPr>
                <w:rStyle w:val="971"/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Минкульт:</w:t>
            </w:r>
            <w:r>
              <w:rPr>
                <w:rStyle w:val="971"/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r>
            <w:r>
              <w:rPr>
                <w:rStyle w:val="971"/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</w:r>
          </w:p>
          <w:p>
            <w:pPr>
              <w:jc w:val="both"/>
              <w:rPr>
                <w:rStyle w:val="971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pPr>
            <w:r>
              <w:rPr>
                <w:rStyle w:val="971"/>
                <w:rFonts w:ascii="Times New Roman" w:hAnsi="Times New Roman" w:eastAsia="Times New Roman" w:cs="Times New Roman"/>
                <w:b/>
                <w:bCs/>
                <w:sz w:val="24"/>
                <w:szCs w:val="24"/>
                <w:highlight w:val="none"/>
                <w:lang w:val="ru-RU"/>
              </w:rPr>
              <w:t xml:space="preserve"> </w:t>
            </w:r>
            <w:r>
              <w:rPr>
                <w:rStyle w:val="971"/>
                <w:rFonts w:ascii="Times New Roman" w:hAnsi="Times New Roman" w:eastAsia="Times New Roman" w:cs="Times New Roman"/>
                <w:b w:val="0"/>
                <w:bCs w:val="0"/>
                <w:sz w:val="24"/>
                <w:szCs w:val="24"/>
                <w:highlight w:val="none"/>
                <w:lang w:val="ru-RU"/>
              </w:rPr>
              <w:t xml:space="preserve">Актуализация информации о мерах поддержки населения на ведомственных информационных сайтах ведется в системе. В 2024 году 57 информационных материалов о мерах поддержки было размещено на портале Культура 75.</w:t>
            </w:r>
            <w:r>
              <w:rPr>
                <w:rStyle w:val="971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b w:val="0"/>
                <w:bCs w:val="0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Перевод процесса предоставления мер социальной поддержки в формат социального казначейства -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проактивно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или на основании одного заявления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2025 г.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Х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none"/>
              </w:rPr>
            </w:pPr>
            <w:r>
              <w:rPr>
                <w:rFonts w:eastAsia="Courier New"/>
                <w:sz w:val="24"/>
                <w:szCs w:val="24"/>
                <w:highlight w:val="none"/>
              </w:rPr>
              <w:t xml:space="preserve">Х</w:t>
            </w:r>
            <w:r>
              <w:rPr>
                <w:rFonts w:eastAsia="Courier New"/>
                <w:sz w:val="24"/>
                <w:szCs w:val="24"/>
                <w:highlight w:val="none"/>
              </w:rPr>
            </w:r>
            <w:r>
              <w:rPr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10.3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Реализация на платформе государственной информационной системы края «Портал государственных и муниципальных услуг (функции)» сервис по заказу и выдаче справок, предоставляемых органами социальной защиты населения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, Министерство жилищно-коммунального хозяйства, энергетики,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цифровизации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и связи Забайкальского края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1 квартал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2025 г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Требуется перевод процесса выдачи спра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вки малоимущим гражданам в государственную услугу или разработка порядка выдачи справки. Министерством направлены предложения оператору ИС Карта жителя региона о реализации выдачи справки на портале Карта жителя региона. Составлен план реализации перевода: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hAnsi="Times New Roman"/>
                <w:szCs w:val="28"/>
                <w:highlight w:val="white"/>
              </w:rPr>
              <w:t xml:space="preserve">1.Перевод процедуры выдачи справки малоимущим на предоставление государственной услуги или утверждение порядка/регламента выдачи справки малоимущим запланирован </w:t>
            </w:r>
            <w:r>
              <w:rPr>
                <w:rFonts w:ascii="Times New Roman" w:hAnsi="Times New Roman"/>
                <w:szCs w:val="28"/>
                <w:highlight w:val="white"/>
              </w:rPr>
              <w:t xml:space="preserve">Минсоц</w:t>
            </w:r>
            <w:r>
              <w:rPr>
                <w:rFonts w:ascii="Times New Roman" w:hAnsi="Times New Roman"/>
                <w:szCs w:val="28"/>
                <w:highlight w:val="white"/>
              </w:rPr>
              <w:t xml:space="preserve"> на 3 квартал 2024 г.</w:t>
            </w:r>
            <w:r>
              <w:rPr>
                <w:rFonts w:ascii="Times New Roman" w:hAnsi="Times New Roman"/>
                <w:szCs w:val="28"/>
                <w:highlight w:val="white"/>
              </w:rPr>
            </w:r>
            <w:r>
              <w:rPr>
                <w:rFonts w:ascii="Times New Roman" w:hAnsi="Times New Roman"/>
                <w:szCs w:val="28"/>
                <w:highlight w:val="white"/>
              </w:rPr>
            </w:r>
          </w:p>
          <w:p>
            <w:pPr>
              <w:jc w:val="both"/>
              <w:rPr>
                <w:rFonts w:ascii="Times New Roman" w:hAnsi="Times New Roman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szCs w:val="28"/>
                <w:highlight w:val="white"/>
              </w:rPr>
              <w:t xml:space="preserve">2.Перевод услуги выдачи </w:t>
            </w:r>
            <w:r>
              <w:rPr>
                <w:rFonts w:ascii="Times New Roman" w:hAnsi="Times New Roman"/>
                <w:szCs w:val="28"/>
                <w:highlight w:val="white"/>
              </w:rPr>
              <w:t xml:space="preserve">справки малоимущим в электронный формат запланирован </w:t>
            </w:r>
            <w:r>
              <w:rPr>
                <w:rFonts w:ascii="Times New Roman" w:hAnsi="Times New Roman"/>
                <w:szCs w:val="28"/>
                <w:highlight w:val="white"/>
              </w:rPr>
              <w:t xml:space="preserve">МинЖКХ</w:t>
            </w:r>
            <w:r>
              <w:rPr>
                <w:rFonts w:ascii="Times New Roman" w:hAnsi="Times New Roman"/>
                <w:szCs w:val="28"/>
                <w:highlight w:val="white"/>
              </w:rPr>
              <w:t xml:space="preserve"> в 1 квартале 2025 г.</w:t>
            </w:r>
            <w:r>
              <w:rPr>
                <w:rFonts w:ascii="Times New Roman" w:hAnsi="Times New Roman"/>
                <w:szCs w:val="28"/>
                <w:highlight w:val="white"/>
              </w:rPr>
            </w:r>
            <w:r>
              <w:rPr>
                <w:rFonts w:ascii="Times New Roman" w:hAnsi="Times New Roman"/>
                <w:szCs w:val="28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Министерство жилищно-коммунального хозяйства, энергетики,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цифровизации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и связи Забайкальского края осуществляет работы по реализации государственной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услуги «Признание семьи или одиноко проживающего гражданина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малоимущими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» (далее – Услуга) на платформе федеральной государственной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информационной системы «Единый портал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государственных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и муниципальных услуг (функций)» (далее – ЕПГУ). В целях координации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указанных работ Министерством совместно с Министерством труда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и социальной защиты населения Забайкальского края проведено совещание 21.05.2024. Министерством труда и социальной защиты населения Забайкальского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края по запросу Министерства разработана блок-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схема предоставления Услуги, а также разработан административный регламент по предостав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лению Услуги (далее – Регламент), необходимый для получения согласования Министерства цифрового развития, связи и массовых коммуникаций Российской Федерации Услуги к реализации на платформе ЕПГУ (далее – Согласование). В настоящее время Регламент проходит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правовую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экспертизу в установленном порядке.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non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Работы по переводу Услуги в электронный формат будут продолжены после утверждения Регламента и получения Согласования.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На 16 января 2025 года указанные работы не проведены, т. к. ожидается принятие Министерство</w:t>
            </w:r>
            <w:r>
              <w:rPr>
                <w:rStyle w:val="971"/>
                <w:rFonts w:eastAsia="Courier New"/>
                <w:sz w:val="24"/>
                <w:szCs w:val="24"/>
                <w:highlight w:val="none"/>
              </w:rPr>
              <w:t xml:space="preserve">м труда и социальной защиты населения Забайкальского края нормативно-правового акта, регламентирующего оказание Услуги. Министерство продолжит работы по переводу Услуги в электронный формат после принятия нормативно-правового акта и получения Согласования.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Не выполнен</w:t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  <w:r>
              <w:rPr>
                <w:rStyle w:val="971"/>
                <w:rFonts w:ascii="Times New Roman" w:hAnsi="Times New Roman" w:cs="Times New Roman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Проактивное</w:t>
            </w:r>
            <w:r>
              <w:rPr>
                <w:rStyle w:val="971"/>
                <w:sz w:val="24"/>
                <w:szCs w:val="24"/>
              </w:rPr>
              <w:t xml:space="preserve"> информирование гражданина в автоматизированном режиме на основании возникновения жизненного события из числа, определенных Минтрудом России, наступление которого предоставляет ему возможность получения мер социальной защиты и </w:t>
            </w:r>
            <w:r>
              <w:rPr>
                <w:rStyle w:val="971"/>
                <w:sz w:val="24"/>
                <w:szCs w:val="24"/>
              </w:rPr>
              <w:t xml:space="preserve">информация</w:t>
            </w:r>
            <w:r>
              <w:rPr>
                <w:rStyle w:val="971"/>
                <w:sz w:val="24"/>
                <w:szCs w:val="24"/>
              </w:rPr>
              <w:t xml:space="preserve"> о котором сформирована в Единой цифровой платформы в социальной сфере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  <w:t xml:space="preserve">, </w:t>
            </w:r>
            <w:r>
              <w:rPr>
                <w:rStyle w:val="1018"/>
                <w:sz w:val="24"/>
                <w:szCs w:val="24"/>
              </w:rPr>
              <w:t xml:space="preserve">Минздрав,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1018"/>
                <w:sz w:val="24"/>
                <w:szCs w:val="24"/>
              </w:rPr>
            </w:pPr>
            <w:r>
              <w:rPr>
                <w:rStyle w:val="1018"/>
                <w:sz w:val="24"/>
                <w:szCs w:val="24"/>
              </w:rPr>
              <w:t xml:space="preserve">Минобр</w:t>
            </w:r>
            <w:r>
              <w:rPr>
                <w:rStyle w:val="1018"/>
                <w:sz w:val="24"/>
                <w:szCs w:val="24"/>
              </w:rPr>
              <w:t xml:space="preserve">, </w:t>
            </w:r>
            <w:r>
              <w:rPr>
                <w:rStyle w:val="1018"/>
                <w:sz w:val="24"/>
                <w:szCs w:val="24"/>
              </w:rPr>
              <w:t xml:space="preserve">Минкульт</w:t>
            </w:r>
            <w:r>
              <w:rPr>
                <w:rStyle w:val="1018"/>
                <w:sz w:val="24"/>
                <w:szCs w:val="24"/>
              </w:rPr>
              <w:t xml:space="preserve">,</w:t>
            </w:r>
            <w:r>
              <w:rPr>
                <w:rStyle w:val="1018"/>
                <w:sz w:val="24"/>
                <w:szCs w:val="24"/>
              </w:rPr>
            </w:r>
            <w:r>
              <w:rPr>
                <w:rStyle w:val="1018"/>
                <w:sz w:val="24"/>
                <w:szCs w:val="24"/>
              </w:rPr>
            </w:r>
          </w:p>
          <w:p>
            <w:pPr>
              <w:pStyle w:val="1002"/>
              <w:spacing w:line="240" w:lineRule="auto"/>
              <w:rPr>
                <w:sz w:val="24"/>
                <w:szCs w:val="24"/>
              </w:rPr>
            </w:pPr>
            <w:r>
              <w:rPr>
                <w:rStyle w:val="1018"/>
                <w:rFonts w:eastAsia="Courier New"/>
                <w:sz w:val="24"/>
                <w:szCs w:val="24"/>
              </w:rPr>
              <w:t xml:space="preserve">Минспорт</w:t>
            </w:r>
            <w:r>
              <w:rPr>
                <w:rStyle w:val="1018"/>
                <w:rFonts w:eastAsia="Courier New"/>
                <w:sz w:val="24"/>
                <w:szCs w:val="24"/>
              </w:rPr>
              <w:t xml:space="preserve">, ОМСУ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В случае возникновения жизненной ситуации (определено 7 ЖС, например, рождение ребенка, выход на пенсию, установление инвалидности, беременность и др.), гражданин информируется о  доступных ему мерах социальной поддержки.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Реализация государственной информационной системы «Навигаторы </w:t>
            </w:r>
            <w:r>
              <w:rPr>
                <w:sz w:val="24"/>
                <w:szCs w:val="24"/>
              </w:rPr>
              <w:t xml:space="preserve">дополнительного образования Забайкальского края» по предоставлению дополнительного образования детям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Минобр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1018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Style w:val="1018"/>
                <w:rFonts w:eastAsia="Courier New"/>
                <w:sz w:val="24"/>
                <w:szCs w:val="24"/>
              </w:rPr>
            </w:r>
            <w:r>
              <w:rPr>
                <w:rStyle w:val="1018"/>
                <w:rFonts w:eastAsia="Courier New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Осуществляется на постоянной основе.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highlight w:val="none"/>
              </w:rPr>
              <w:t xml:space="preserve">Минобр: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jc w:val="both"/>
              <w:rPr>
                <w:rFonts w:ascii="Times New Roman" w:hAnsi="Times New Roman" w:cs="Times New Roman"/>
                <w:b w:val="0"/>
                <w:bCs w:val="0"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highlight w:val="none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Cs w:val="22"/>
                <w:highlight w:val="none"/>
              </w:rPr>
              <w:t xml:space="preserve">Функционирует в штатном режиме в ИС «Навигатор дополнительного образования», зарегистрировано более 1,1 тыс. учреждений, размещено около 11 тыс. программ, охват составляет более 187 тыс. обучающихся</w:t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  <w:r>
              <w:rPr>
                <w:rFonts w:ascii="Times New Roman" w:hAnsi="Times New Roman" w:cs="Times New Roman"/>
                <w:b w:val="0"/>
                <w:bCs w:val="0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Выполнено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rPr>
          <w:trHeight w:val="334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11. Служба социальных координаторов</w:t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Развитие инфраструктуры </w:t>
            </w:r>
            <w:r>
              <w:rPr>
                <w:rStyle w:val="971"/>
                <w:sz w:val="24"/>
                <w:szCs w:val="24"/>
              </w:rPr>
              <w:t xml:space="preserve">проактивного</w:t>
            </w:r>
            <w:r>
              <w:rPr>
                <w:rStyle w:val="971"/>
                <w:sz w:val="24"/>
                <w:szCs w:val="24"/>
              </w:rPr>
              <w:t xml:space="preserve"> социального сопровождения семей с детьми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ind w:left="132" w:right="134" w:hanging="132"/>
              <w:jc w:val="both"/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В государственных учреждениях социального обслуживания реализуется </w:t>
            </w:r>
            <w:r>
              <w:rPr>
                <w:rFonts w:ascii="Times New Roman" w:hAnsi="Times New Roman" w:cs="Times New Roman"/>
                <w:highlight w:val="white"/>
              </w:rPr>
              <w:t xml:space="preserve">проактивное</w:t>
            </w:r>
            <w:r>
              <w:rPr>
                <w:rFonts w:ascii="Times New Roman" w:hAnsi="Times New Roman" w:cs="Times New Roman"/>
                <w:highlight w:val="white"/>
              </w:rPr>
              <w:t xml:space="preserve"> социальное сопровождение семей с детьми. Технология социального сопровождения семей осуществляется с использованием новых создаваемых специализир</w:t>
            </w:r>
            <w:r>
              <w:rPr>
                <w:rFonts w:ascii="Times New Roman" w:hAnsi="Times New Roman" w:cs="Times New Roman"/>
                <w:highlight w:val="white"/>
              </w:rPr>
              <w:t xml:space="preserve">ованных социальных сервисов для семей: служб экстренного реагирования, выездных мобильных бригад, групп кратковременного пребывания, пунктов социального проката, семейных диспетчерских, психологических  онлайн-приемных, семейных приёмных и других сервисов.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ind w:left="132" w:right="134" w:hanging="132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none"/>
              </w:rPr>
              <w:t xml:space="preserve">Выполнено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11.2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Разработка медиа-плана информационного освещения пилотного проекта в средствах массовой информации, социальных сетях в целях широкого информирования жителей края о создании инфраструктуры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проактивного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социального сопровождения семей с детьми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1 кв. 2024 г.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ind w:left="84" w:right="132" w:hanging="84"/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  <w:t xml:space="preserve">Приказом </w:t>
            </w:r>
            <w:r>
              <w:rPr>
                <w:rFonts w:ascii="Times New Roman" w:hAnsi="Times New Roman" w:cs="Times New Roman"/>
                <w:highlight w:val="white"/>
              </w:rPr>
              <w:t xml:space="preserve">Минсоц</w:t>
            </w:r>
            <w:r>
              <w:rPr>
                <w:rFonts w:ascii="Times New Roman" w:hAnsi="Times New Roman" w:cs="Times New Roman"/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утверждён</w:t>
            </w:r>
            <w:r>
              <w:rPr>
                <w:rFonts w:ascii="Times New Roman" w:hAnsi="Times New Roman" w:cs="Times New Roman"/>
                <w:highlight w:val="white"/>
              </w:rPr>
              <w:t xml:space="preserve"> медиа-план</w:t>
            </w:r>
            <w:r>
              <w:rPr>
                <w:rFonts w:ascii="Times New Roman" w:hAnsi="Times New Roman" w:cs="Times New Roman" w:eastAsiaTheme="minorEastAsia"/>
                <w:highlight w:val="white"/>
              </w:rPr>
              <w:t xml:space="preserve">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в целях широкого информирования жителей края о создании инфраструктуры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проактивного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социального сопровождения семей с детьми</w:t>
            </w:r>
            <w:r>
              <w:rPr>
                <w:rFonts w:ascii="Times New Roman" w:hAnsi="Times New Roman" w:cs="Times New Roman"/>
                <w:highlight w:val="white"/>
              </w:rPr>
              <w:t xml:space="preserve"> в Забайкальском</w:t>
            </w:r>
            <w:r>
              <w:rPr>
                <w:highlight w:val="white"/>
              </w:rPr>
              <w:t xml:space="preserve"> </w:t>
            </w:r>
            <w:r>
              <w:rPr>
                <w:rFonts w:ascii="Times New Roman" w:hAnsi="Times New Roman" w:cs="Times New Roman"/>
                <w:highlight w:val="white"/>
              </w:rPr>
              <w:t xml:space="preserve">крае.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ind w:left="84" w:right="132" w:hanging="84"/>
              <w:jc w:val="both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Организация работы «Службы сопровождения инвалидов», функционирующих на базе государственных учреждений социального обслуживания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С целью развития системы социальной  поддержки и защиты инвалидов, оказания им содействия в решении проблем социальной адаптации и интеграции в общество,  функционирует «Служба сопровождения инвалидов».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На 25 декабря 2024 года на сопровождении находятся 9 123 человека, в </w:t>
            </w:r>
            <w:r>
              <w:rPr>
                <w:rStyle w:val="971"/>
                <w:rFonts w:eastAsia="Courier New"/>
                <w:sz w:val="24"/>
                <w:szCs w:val="24"/>
              </w:rPr>
              <w:t xml:space="preserve">т.ч</w:t>
            </w:r>
            <w:r>
              <w:rPr>
                <w:rStyle w:val="971"/>
                <w:rFonts w:eastAsia="Courier New"/>
                <w:sz w:val="24"/>
                <w:szCs w:val="24"/>
              </w:rPr>
              <w:t xml:space="preserve">. 2 852 ребенка-инвалида.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Создание службы социальных кураторов здравоохранения в медицинских организациях края «Кураторы здоровья»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Минздрав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1018"/>
                <w:rFonts w:eastAsia="Courier New"/>
                <w:sz w:val="24"/>
                <w:szCs w:val="24"/>
              </w:rPr>
            </w:pPr>
            <w:r>
              <w:rPr>
                <w:rStyle w:val="1018"/>
                <w:rFonts w:eastAsia="Courier New"/>
                <w:sz w:val="24"/>
                <w:szCs w:val="24"/>
              </w:rPr>
              <w:t xml:space="preserve">два раза в год, ежегодно отчет </w:t>
            </w:r>
            <w:r>
              <w:rPr>
                <w:rStyle w:val="1018"/>
                <w:rFonts w:eastAsia="Courier New"/>
                <w:sz w:val="24"/>
                <w:szCs w:val="24"/>
              </w:rPr>
            </w:r>
            <w:r>
              <w:rPr>
                <w:rStyle w:val="1018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1018"/>
                <w:rFonts w:eastAsia="Courier New"/>
                <w:sz w:val="24"/>
                <w:szCs w:val="24"/>
              </w:rPr>
              <w:t xml:space="preserve">до 30 декабря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1018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1018"/>
                <w:rFonts w:eastAsia="Courier New"/>
                <w:sz w:val="24"/>
                <w:highlight w:val="white"/>
              </w:rPr>
              <w:t xml:space="preserve">В рамках проекта «Координаторы здоровья» осуществляется наблюдение за состоянием здоровья  участников СВО и членов их семей. Всего под наблюдением находятся более 2 тыс. человек.</w:t>
            </w:r>
            <w:r>
              <w:rPr>
                <w:rStyle w:val="1018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1018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1018"/>
                <w:rFonts w:eastAsia="Courier New"/>
                <w:sz w:val="24"/>
                <w:highlight w:val="white"/>
              </w:rPr>
            </w:pPr>
            <w:r>
              <w:rPr>
                <w:rFonts w:eastAsia="Courier New"/>
                <w:sz w:val="24"/>
                <w:highlight w:val="white"/>
              </w:rPr>
            </w:r>
            <w:r>
              <w:rPr>
                <w:rStyle w:val="1018"/>
                <w:rFonts w:eastAsia="Courier New"/>
                <w:sz w:val="24"/>
                <w:highlight w:val="white"/>
              </w:rPr>
            </w:r>
            <w:r>
              <w:rPr>
                <w:rStyle w:val="1018"/>
                <w:rFonts w:eastAsia="Courier New"/>
                <w:sz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b/>
                <w:sz w:val="24"/>
                <w:szCs w:val="24"/>
              </w:rPr>
            </w:pPr>
            <w:r>
              <w:rPr>
                <w:rStyle w:val="971"/>
                <w:rFonts w:eastAsia="Courier New"/>
                <w:b/>
                <w:sz w:val="24"/>
                <w:szCs w:val="24"/>
              </w:rPr>
              <w:t xml:space="preserve">12. </w:t>
            </w:r>
            <w:r>
              <w:rPr>
                <w:rFonts w:ascii="Times New Roman" w:hAnsi="Times New Roman" w:cs="Times New Roman"/>
                <w:b/>
              </w:rPr>
              <w:t xml:space="preserve"> Программа комплексной </w:t>
            </w:r>
            <w:r>
              <w:rPr>
                <w:rFonts w:ascii="Times New Roman" w:hAnsi="Times New Roman" w:cs="Times New Roman"/>
                <w:b/>
              </w:rPr>
              <w:t xml:space="preserve">медико-социальной</w:t>
            </w:r>
            <w:r>
              <w:rPr>
                <w:rFonts w:ascii="Times New Roman" w:hAnsi="Times New Roman" w:cs="Times New Roman"/>
                <w:b/>
              </w:rPr>
              <w:t xml:space="preserve"> помощи семьям при рождении ребенка с врожденными пороками и патологиями развития</w:t>
            </w:r>
            <w:r>
              <w:rPr>
                <w:rStyle w:val="971"/>
                <w:rFonts w:eastAsia="Courier New"/>
                <w:b/>
                <w:sz w:val="24"/>
                <w:szCs w:val="24"/>
              </w:rPr>
            </w:r>
            <w:r>
              <w:rPr>
                <w:rStyle w:val="971"/>
                <w:rFonts w:eastAsia="Courier New"/>
                <w:b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b/>
                <w:sz w:val="24"/>
                <w:szCs w:val="24"/>
              </w:rPr>
            </w:pPr>
            <w:r>
              <w:rPr>
                <w:rFonts w:eastAsia="Courier New"/>
                <w:b/>
                <w:sz w:val="24"/>
                <w:szCs w:val="24"/>
              </w:rPr>
            </w:r>
            <w:r>
              <w:rPr>
                <w:rStyle w:val="971"/>
                <w:rFonts w:eastAsia="Courier New"/>
                <w:b/>
                <w:sz w:val="24"/>
                <w:szCs w:val="24"/>
              </w:rPr>
            </w:r>
            <w:r>
              <w:rPr>
                <w:rStyle w:val="971"/>
                <w:rFonts w:eastAsia="Courier New"/>
                <w:b/>
                <w:sz w:val="24"/>
                <w:szCs w:val="24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12.1 12.8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Проведение анализа организации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медико-социальной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 помощи семьям при рождении ребенка с врожденными пороками и патологиями развития в учреждениях родовспоможения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Минздрав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2025 г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1018"/>
                <w:rFonts w:eastAsia="Courier New"/>
                <w:highlight w:val="white"/>
              </w:rPr>
              <w:t xml:space="preserve">Х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1018"/>
                <w:rFonts w:eastAsia="Courier New"/>
                <w:highlight w:val="white"/>
              </w:rPr>
            </w:pPr>
            <w:r>
              <w:rPr>
                <w:rFonts w:eastAsia="Courier New"/>
                <w:highlight w:val="none"/>
              </w:rPr>
              <w:t xml:space="preserve">Х</w:t>
            </w:r>
            <w:r>
              <w:rPr>
                <w:rStyle w:val="1018"/>
                <w:rFonts w:eastAsia="Courier New"/>
                <w:highlight w:val="white"/>
              </w:rPr>
            </w:r>
            <w:r>
              <w:rPr>
                <w:rStyle w:val="1018"/>
                <w:rFonts w:eastAsia="Courier New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12.9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Информирование населения о мерах социальной поддержки, предоставляемых органами социальной защиты края семьям при рождении ребенка (публикации в </w:t>
            </w:r>
            <w:r>
              <w:rPr>
                <w:rStyle w:val="971"/>
                <w:sz w:val="24"/>
                <w:szCs w:val="24"/>
                <w:highlight w:val="white"/>
              </w:rPr>
              <w:t xml:space="preserve">социальных сетях, СМИ, выступления на телевидении, радио и др.)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постоянно,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ежегодно отчет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Информирование населения о мерах поддержки семей с детьми осуществляется на сайте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и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на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официальных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госпабликах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еженедельно.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12.10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Совершенствование оказания социальных услуг семьям с детьми, имеющими врожденные пороки и патологии развития, в отношении которых предоставлены сведения учреждениями здравоохранения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постоянно, ежегодно отчет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Планируется межведомственное взаимодействие с Минздравом в 2025 году (после внедрения Минздравом данного положения).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12.11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Совершенствование предоставления социального сопровождения семьям с детьми, имеющими врожденные пороки и патологии развития, в отношении которых предоставлены сведения учреждениями здравоохранения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  <w:highlight w:val="white"/>
              </w:rPr>
            </w:pPr>
            <w:r>
              <w:rPr>
                <w:rStyle w:val="971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sz w:val="24"/>
                <w:szCs w:val="24"/>
                <w:highlight w:val="white"/>
              </w:rPr>
            </w:r>
            <w:r>
              <w:rPr>
                <w:rStyle w:val="971"/>
                <w:sz w:val="24"/>
                <w:szCs w:val="24"/>
                <w:highlight w:val="white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постоянно, ежегодно отчет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rPr>
                <w:rFonts w:ascii="Times New Roman" w:hAnsi="Times New Roman" w:cs="Times New Roman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до 25 декабря</w:t>
            </w:r>
            <w:r>
              <w:rPr>
                <w:rFonts w:ascii="Times New Roman" w:hAnsi="Times New Roman" w:cs="Times New Roman"/>
                <w:highlight w:val="white"/>
              </w:rPr>
            </w:r>
            <w:r>
              <w:rPr>
                <w:rFonts w:ascii="Times New Roman" w:hAnsi="Times New Roman" w:cs="Times New Roman"/>
                <w:highlight w:val="white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Планируется межведомственное взаимодействие с Минздравом в 2025 г. (после внедрения Минздравом данного положения).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Х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31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  <w:t xml:space="preserve">13. Оценка качества услуг в социальной сфере</w:t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b/>
                <w:highlight w:val="white"/>
              </w:rPr>
            </w:pP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  <w:r>
              <w:rPr>
                <w:rFonts w:ascii="Times New Roman" w:hAnsi="Times New Roman" w:cs="Times New Roman"/>
                <w:b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Проведение независимого анкетирования работодателей о соответствии полученных выпускниками знаний и навыков ожиданиям работодателей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Минобр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ежегодно,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отчет до 25 декабря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left"/>
              <w:rPr>
                <w:rFonts w:ascii="Times New Roman" w:hAnsi="Times New Roman" w:cs="Times New Roman"/>
                <w:highlight w:val="none"/>
              </w:rPr>
            </w:pPr>
            <w:r>
              <w:rPr>
                <w:rFonts w:ascii="Times New Roman" w:hAnsi="Times New Roman" w:cs="Times New Roman"/>
                <w:szCs w:val="22"/>
                <w:highlight w:val="white"/>
              </w:rPr>
              <w:t xml:space="preserve">Осуществляется на постоянной основе.</w:t>
            </w:r>
            <w:r>
              <w:rPr>
                <w:rFonts w:ascii="Times New Roman" w:hAnsi="Times New Roman" w:cs="Times New Roman"/>
                <w:highlight w:val="none"/>
              </w:rPr>
            </w:r>
            <w:r>
              <w:rPr>
                <w:rFonts w:ascii="Times New Roman" w:hAnsi="Times New Roman" w:cs="Times New Roman"/>
                <w:highlight w:val="none"/>
              </w:rPr>
            </w:r>
          </w:p>
          <w:p>
            <w:pPr>
              <w:jc w:val="left"/>
              <w:rPr>
                <w:rFonts w:ascii="Times New Roman" w:hAnsi="Times New Roman" w:cs="Times New Roman"/>
                <w:b/>
                <w:bCs/>
                <w:highlight w:val="none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highlight w:val="none"/>
              </w:rPr>
              <w:t xml:space="preserve">Минобр:</w:t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  <w:r>
              <w:rPr>
                <w:rFonts w:ascii="Times New Roman" w:hAnsi="Times New Roman" w:cs="Times New Roman"/>
                <w:b/>
                <w:bCs/>
                <w:highlight w:val="none"/>
              </w:rPr>
            </w:r>
          </w:p>
          <w:p>
            <w:pPr>
              <w:jc w:val="left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 В 2024 году проведено анкетирование работодателей  Центром опережающей профессиональной подготовки.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ascii="Times New Roman" w:hAnsi="Times New Roman" w:cs="Times New Roman"/>
                <w:szCs w:val="22"/>
                <w:highlight w:val="white"/>
              </w:rPr>
            </w:pPr>
            <w:r>
              <w:rPr>
                <w:rFonts w:ascii="Times New Roman" w:hAnsi="Times New Roman" w:cs="Times New Roman"/>
                <w:szCs w:val="22"/>
                <w:highlight w:val="none"/>
              </w:rPr>
              <w:t xml:space="preserve">Выполнено</w:t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Cs w:val="22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Проведение мониторинга качества и доступности государственных услуг в сфере социальной защиты и занятости населения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ежегодно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30 апреля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23"/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В соответствии с постановлением Правительства Забайкальского края от 22 августа 2022 года № 362 «О внесении изменений в некоторые постановления Правительства Забайкальского края в сфере социальной защиты населения Забайкальского края» уполномоченны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м исполнительным органом по сбору информации о результатах независимой оценки качества (далее – НОК) условий оказания услуг в сфере культуры, охраны здоровья, образования, социального обслуживания определено Министерство труда и социальной защиты населения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Забайкальского края.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tabs>
                <w:tab w:val="left" w:pos="0" w:leader="none"/>
              </w:tabs>
              <w:contextualSpacing/>
              <w:jc w:val="both"/>
              <w:rPr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За 2023 год охвачено процедурой НОК в социальной сфере – 322 учреждения, в том числе:</w:t>
            </w:r>
            <w:r>
              <w:rPr>
                <w:szCs w:val="28"/>
              </w:rPr>
            </w:r>
            <w:r>
              <w:rPr>
                <w:szCs w:val="28"/>
              </w:rPr>
            </w:r>
          </w:p>
          <w:p>
            <w:pPr>
              <w:pStyle w:val="1023"/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социального обслуживания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– 22 учреждения;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tabs>
                <w:tab w:val="left" w:pos="0" w:leader="none"/>
                <w:tab w:val="left" w:pos="851" w:leader="none"/>
              </w:tabs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в сфере культуры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–</w:t>
            </w:r>
            <w:r>
              <w:rPr>
                <w:rFonts w:ascii="Times New Roman" w:hAnsi="Times New Roman"/>
                <w:b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 xml:space="preserve">51 учреждение; 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tabs>
                <w:tab w:val="left" w:pos="0" w:leader="none"/>
                <w:tab w:val="left" w:pos="851" w:leader="none"/>
              </w:tabs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в сфере здравоохранения – 34 учреждения;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в сфере образования – 215 общеобразовательных организаций.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pStyle w:val="1023"/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 Средний балл по результатам НОК оказания услуг организациями составил: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pStyle w:val="1023"/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- в сфере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 xml:space="preserve">социального обслуживания –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91,58 балла;</w:t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  <w:p>
            <w:pPr>
              <w:pStyle w:val="1024"/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в сфере культуры – 87,1 балла;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sz w:val="22"/>
              </w:rPr>
              <w:t xml:space="preserve">- </w:t>
            </w:r>
            <w:r>
              <w:rPr>
                <w:rFonts w:ascii="Times New Roman" w:hAnsi="Times New Roman"/>
                <w:szCs w:val="28"/>
              </w:rPr>
              <w:t xml:space="preserve">в сфере здравоохранения – 90,0 балла;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- в сфере образования – 81,03 балла.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Общий балл по социальной сфере – 87,43 балла.</w:t>
            </w:r>
            <w:r>
              <w:rPr>
                <w:rFonts w:ascii="Times New Roman" w:hAnsi="Times New Roman"/>
                <w:szCs w:val="28"/>
              </w:rPr>
            </w:r>
            <w:r>
              <w:rPr>
                <w:rFonts w:ascii="Times New Roman" w:hAnsi="Times New Roman"/>
                <w:szCs w:val="28"/>
              </w:rPr>
            </w:r>
          </w:p>
          <w:p>
            <w:pPr>
              <w:tabs>
                <w:tab w:val="left" w:pos="0" w:leader="none"/>
              </w:tabs>
              <w:contextualSpacing/>
              <w:jc w:val="both"/>
              <w:rPr>
                <w:rStyle w:val="971"/>
                <w:rFonts w:eastAsia="Courier New" w:cs="Courier New"/>
                <w:sz w:val="24"/>
                <w:szCs w:val="24"/>
              </w:rPr>
            </w:pPr>
            <w:r>
              <w:rPr>
                <w:rStyle w:val="971"/>
                <w:rFonts w:eastAsia="Courier New" w:cs="Courier New"/>
                <w:sz w:val="24"/>
                <w:szCs w:val="24"/>
              </w:rPr>
              <w:t xml:space="preserve">В 2024 году НОК  запланировано провести в 17 подведомственных Министерству учреждениях. В первом полугодии 2024 года НОК </w:t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  <w:t xml:space="preserve">проведена</w:t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  <w:t xml:space="preserve"> в 12 учреждениях, по результатам которых проведено 2 заседания Общественного совета. В 3 квартале 2024 года </w:t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  <w:t xml:space="preserve">запланирована</w:t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  <w:t xml:space="preserve"> НОК в 5 учреждениях. </w:t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</w:r>
          </w:p>
          <w:p>
            <w:pPr>
              <w:tabs>
                <w:tab w:val="left" w:pos="0" w:leader="none"/>
              </w:tabs>
              <w:contextualSpacing/>
              <w:jc w:val="both"/>
              <w:rPr>
                <w:rStyle w:val="971"/>
                <w:rFonts w:eastAsia="Courier New" w:cs="Courier New"/>
                <w:sz w:val="24"/>
                <w:szCs w:val="24"/>
              </w:rPr>
            </w:pPr>
            <w:r>
              <w:rPr>
                <w:rStyle w:val="971"/>
                <w:rFonts w:eastAsia="Courier New" w:cs="Courier New"/>
                <w:sz w:val="24"/>
                <w:szCs w:val="24"/>
              </w:rPr>
              <w:t xml:space="preserve"> Информация за 2024 год будет предоставлена в </w:t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  <w:t xml:space="preserve">период апреля 2025 года.</w:t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</w:r>
            <w:r>
              <w:rPr>
                <w:rStyle w:val="971"/>
                <w:rFonts w:eastAsia="Courier New" w:cs="Courier New"/>
                <w:sz w:val="24"/>
                <w:szCs w:val="24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23"/>
              <w:tabs>
                <w:tab w:val="left" w:pos="0" w:leader="none"/>
              </w:tabs>
              <w:contextualSpacing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  <w:r>
              <w:rPr>
                <w:rFonts w:ascii="Times New Roman" w:hAnsi="Times New Roman" w:cs="Times New Roman"/>
                <w:sz w:val="24"/>
                <w:szCs w:val="28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Проведение мониторинга полученных от учреждений социального </w:t>
            </w:r>
            <w:r>
              <w:rPr>
                <w:rStyle w:val="971"/>
                <w:sz w:val="24"/>
                <w:szCs w:val="24"/>
              </w:rPr>
              <w:t xml:space="preserve">обслуживания результатов анкетирования получателей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ежегодно,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отчет 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yellow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Ежеквартально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Минсоц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проводится мониторинг полученных от учреждений социального обслуживания результатов анкетирования получателей социальных услуг, результаты которого учитываются при оценке эффективности работы руководителей учреждений.</w:t>
            </w:r>
            <w:r>
              <w:rPr>
                <w:rStyle w:val="971"/>
                <w:rFonts w:eastAsia="Courier New"/>
                <w:sz w:val="24"/>
                <w:szCs w:val="24"/>
                <w:highlight w:val="yellow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yellow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Организация </w:t>
            </w:r>
            <w:r>
              <w:rPr>
                <w:rStyle w:val="971"/>
                <w:sz w:val="24"/>
                <w:szCs w:val="24"/>
              </w:rPr>
              <w:t xml:space="preserve">контроля за</w:t>
            </w:r>
            <w:r>
              <w:rPr>
                <w:rStyle w:val="971"/>
                <w:sz w:val="24"/>
                <w:szCs w:val="24"/>
              </w:rPr>
              <w:t xml:space="preserve"> проведением в учреждениях социального обслуживания мероприятий, направленных на повышение качества оказания социальных услуг и уровня удовлетворенности получателей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ежегодно,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отчет 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yellow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Ежеквартально </w:t>
            </w:r>
            <w:r>
              <w:rPr>
                <w:rStyle w:val="971"/>
                <w:rFonts w:eastAsia="Courier New"/>
                <w:sz w:val="24"/>
                <w:szCs w:val="24"/>
              </w:rPr>
              <w:t xml:space="preserve">Минсоц</w:t>
            </w:r>
            <w:r>
              <w:rPr>
                <w:rStyle w:val="971"/>
                <w:rFonts w:eastAsia="Courier New"/>
                <w:sz w:val="24"/>
                <w:szCs w:val="24"/>
              </w:rPr>
              <w:t xml:space="preserve"> проводится мониторинг полученных от учреждений социального обслуживания результатов анкетирования получателей социальных услуг, результаты которого учитываются при оценке эффективности работы руководителей учреждений.</w:t>
            </w:r>
            <w:r>
              <w:rPr>
                <w:rStyle w:val="971"/>
                <w:rFonts w:eastAsia="Courier New"/>
                <w:sz w:val="24"/>
                <w:szCs w:val="24"/>
                <w:highlight w:val="yellow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yellow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Ежеквартальное освещение в средствах массовой </w:t>
            </w:r>
            <w:r>
              <w:rPr>
                <w:rStyle w:val="971"/>
                <w:sz w:val="24"/>
                <w:szCs w:val="24"/>
              </w:rPr>
              <w:t xml:space="preserve">информации результатов проведенного мониторинга уровня удовлетворенности</w:t>
            </w:r>
            <w:r>
              <w:rPr>
                <w:rStyle w:val="971"/>
                <w:sz w:val="24"/>
                <w:szCs w:val="24"/>
              </w:rPr>
              <w:t xml:space="preserve"> и оценки качества социальных услуг, проводимых </w:t>
            </w:r>
            <w:r>
              <w:rPr>
                <w:rStyle w:val="971"/>
                <w:sz w:val="24"/>
                <w:szCs w:val="24"/>
              </w:rPr>
              <w:t xml:space="preserve">мероприятий, направленных на повышение качества оказания социальных услуг, уровня удовлетворенности получателей социальных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Минсоц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ежеквартально, ежегодно отчет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Освещение в средствах массовой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информации результатов проведенного мониторинга уровня удовлетворенности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  <w:t xml:space="preserve"> и оценки качества социальных услуг, проводимых мероприятий, направленных на повышение качества оказания социальных услуг, уровня удовлетворенности получателей социальных услуг. 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jc w:val="both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13.6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Анализ обращений, поступающих от населения в Контакт-центр Минздрава Забайкальского края, в </w:t>
            </w:r>
            <w:r>
              <w:rPr>
                <w:rStyle w:val="971"/>
                <w:sz w:val="24"/>
                <w:szCs w:val="24"/>
              </w:rPr>
              <w:t xml:space="preserve">медчаты</w:t>
            </w:r>
            <w:r>
              <w:rPr>
                <w:rStyle w:val="971"/>
                <w:sz w:val="24"/>
                <w:szCs w:val="24"/>
              </w:rPr>
              <w:t xml:space="preserve"> «Чита Здоровье», «Забайкалье Здоровье», основных показателей проведенных опросов, подготовка на их основе предложений по совершенствованию оказания помощи пациенту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Минздрав 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ежеквартально, ежегодно отчет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25 декабря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1018"/>
                <w:rFonts w:eastAsia="Courier New"/>
                <w:sz w:val="24"/>
                <w:highlight w:val="white"/>
              </w:rPr>
              <w:t xml:space="preserve">Осуществляется регулярно, на постоянной основе.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Fonts w:eastAsia="Courier New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  <w:t xml:space="preserve">Выполнено</w:t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  <w:r>
              <w:rPr>
                <w:rFonts w:eastAsia="Courier New"/>
                <w:sz w:val="24"/>
                <w:szCs w:val="24"/>
                <w:highlight w:val="white"/>
              </w:rPr>
            </w:r>
          </w:p>
          <w:p>
            <w:pPr>
              <w:pStyle w:val="1002"/>
              <w:shd w:val="clear" w:color="auto" w:fill="auto"/>
              <w:spacing w:line="240" w:lineRule="auto"/>
              <w:jc w:val="center"/>
              <w:rPr>
                <w:rStyle w:val="1018"/>
                <w:rFonts w:eastAsia="Courier New"/>
                <w:sz w:val="24"/>
                <w:highlight w:val="white"/>
              </w:rPr>
            </w:pPr>
            <w:r>
              <w:rPr>
                <w:rFonts w:eastAsia="Courier New"/>
                <w:sz w:val="24"/>
                <w:highlight w:val="white"/>
              </w:rPr>
            </w:r>
            <w:r>
              <w:rPr>
                <w:rStyle w:val="1018"/>
                <w:rFonts w:eastAsia="Courier New"/>
                <w:sz w:val="24"/>
                <w:highlight w:val="white"/>
              </w:rPr>
            </w:r>
            <w:r>
              <w:rPr>
                <w:rStyle w:val="1018"/>
                <w:rFonts w:eastAsia="Courier New"/>
                <w:sz w:val="24"/>
                <w:highlight w:val="white"/>
              </w:rPr>
            </w:r>
          </w:p>
        </w:tc>
      </w:tr>
      <w:tr>
        <w:trPr>
          <w:trHeight w:val="81"/>
        </w:trPr>
        <w:tblPrEx/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Проведение анализа результатов оценки, разработка предложений по улучшению качества предоставляемых социальных услуг совместно с экспертами Региональной экспертной группы 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pStyle w:val="1002"/>
              <w:shd w:val="clear" w:color="auto" w:fill="auto"/>
              <w:spacing w:line="240" w:lineRule="auto"/>
              <w:jc w:val="left"/>
              <w:rPr>
                <w:rStyle w:val="971"/>
                <w:sz w:val="24"/>
                <w:szCs w:val="24"/>
              </w:rPr>
            </w:pPr>
            <w:r>
              <w:rPr>
                <w:rStyle w:val="971"/>
                <w:sz w:val="24"/>
                <w:szCs w:val="24"/>
              </w:rPr>
              <w:t xml:space="preserve">РСУ, эксперты Региональной экспертной группы</w:t>
            </w:r>
            <w:r>
              <w:rPr>
                <w:rStyle w:val="971"/>
                <w:sz w:val="24"/>
                <w:szCs w:val="24"/>
              </w:rPr>
            </w:r>
            <w:r>
              <w:rPr>
                <w:rStyle w:val="971"/>
                <w:sz w:val="24"/>
                <w:szCs w:val="24"/>
              </w:rPr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ежегодно 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  <w:p>
            <w:pPr>
              <w:rPr>
                <w:rStyle w:val="971"/>
                <w:rFonts w:eastAsia="Courier New"/>
                <w:sz w:val="24"/>
                <w:szCs w:val="24"/>
              </w:rPr>
            </w:pPr>
            <w:r>
              <w:rPr>
                <w:rStyle w:val="971"/>
                <w:rFonts w:eastAsia="Courier New"/>
                <w:sz w:val="24"/>
                <w:szCs w:val="24"/>
              </w:rPr>
              <w:t xml:space="preserve">до 1 февраля</w:t>
            </w:r>
            <w:r>
              <w:rPr>
                <w:rStyle w:val="971"/>
                <w:rFonts w:eastAsia="Courier New"/>
                <w:sz w:val="24"/>
                <w:szCs w:val="24"/>
              </w:rPr>
            </w:r>
            <w:r>
              <w:rPr>
                <w:rStyle w:val="971"/>
                <w:rFonts w:eastAsia="Courier New"/>
                <w:sz w:val="24"/>
                <w:szCs w:val="24"/>
              </w:rPr>
            </w:r>
          </w:p>
        </w:tc>
        <w:tc>
          <w:tcPr>
            <w:tcW w:w="5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971"/>
                <w:rFonts w:eastAsia="Courier New"/>
                <w:sz w:val="24"/>
                <w:szCs w:val="24"/>
                <w:highlight w:val="white"/>
              </w:rPr>
            </w:pPr>
            <w:r>
              <w:rPr>
                <w:rStyle w:val="1018"/>
                <w:rFonts w:eastAsia="Courier New"/>
                <w:highlight w:val="white"/>
              </w:rPr>
              <w:t xml:space="preserve">Х</w:t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  <w:r>
              <w:rPr>
                <w:rStyle w:val="971"/>
                <w:rFonts w:eastAsia="Courier New"/>
                <w:sz w:val="24"/>
                <w:szCs w:val="24"/>
                <w:highlight w:val="white"/>
              </w:rPr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false"/>
            <w:textDirection w:val="lrTb"/>
          </w:tcPr>
          <w:p>
            <w:pPr>
              <w:jc w:val="center"/>
              <w:rPr>
                <w:rStyle w:val="1018"/>
                <w:rFonts w:eastAsia="Courier New"/>
                <w:highlight w:val="white"/>
              </w:rPr>
            </w:pPr>
            <w:r>
              <w:rPr>
                <w:rFonts w:eastAsia="Courier New"/>
                <w:highlight w:val="none"/>
              </w:rPr>
              <w:t xml:space="preserve">Х</w:t>
            </w:r>
            <w:r>
              <w:rPr>
                <w:rStyle w:val="1018"/>
                <w:rFonts w:eastAsia="Courier New"/>
                <w:highlight w:val="white"/>
              </w:rPr>
            </w:r>
            <w:r>
              <w:rPr>
                <w:rStyle w:val="1018"/>
                <w:rFonts w:eastAsia="Courier New"/>
                <w:highlight w:val="white"/>
              </w:rPr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Column"/>
      <w:pgSz w:w="16834" w:h="11909" w:orient="landscape"/>
      <w:pgMar w:top="1134" w:right="851" w:bottom="851" w:left="1134" w:header="510" w:footer="6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TimesNewRomanPSMT">
    <w:panose1 w:val="02020603050405020304"/>
  </w:font>
  <w:font w:name="Tahoma">
    <w:panose1 w:val="020B0604030504040204"/>
  </w:font>
  <w:font w:name="Lucida Sans Unicode">
    <w:panose1 w:val="020B0602030504020204"/>
  </w:font>
  <w:font w:name="Times New Roman">
    <w:panose1 w:val="02020603050405020304"/>
  </w:font>
  <w:font w:name="Arial">
    <w:panose1 w:val="020B0604020202020204"/>
  </w:font>
  <w:font w:name="Trebuchet MS">
    <w:panose1 w:val="020B0603020202020204"/>
  </w:font>
  <w:font w:name="Courier New">
    <w:panose1 w:val="020703090202050204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/>
  </w:footnote>
  <w:footnote w:type="continuationSeparator" w:id="0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4937431"/>
      <w:docPartObj>
        <w:docPartGallery w:val="Page Numbers (Top of Page)"/>
        <w:docPartUnique w:val="true"/>
      </w:docPartObj>
      <w:rPr/>
    </w:sdtPr>
    <w:sdtContent>
      <w:p>
        <w:pPr>
          <w:pStyle w:val="102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4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  <w:r>
      <w:rPr>
        <w:sz w:val="2"/>
        <w:szCs w:val="2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sz w:val="2"/>
        <w:szCs w:val="2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00" distR="63500" simplePos="0" relativeHeight="251663872" behindDoc="1" locked="0" layoutInCell="1" allowOverlap="1">
              <wp:simplePos x="0" y="0"/>
              <wp:positionH relativeFrom="page">
                <wp:posOffset>3764915</wp:posOffset>
              </wp:positionH>
              <wp:positionV relativeFrom="page">
                <wp:posOffset>1963420</wp:posOffset>
              </wp:positionV>
              <wp:extent cx="73660" cy="161925"/>
              <wp:effectExtent l="0" t="0" r="2540" b="9525"/>
              <wp:wrapNone/>
              <wp:docPr id="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>
                          <w:pPr>
                            <w:pStyle w:val="1003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974"/>
                            </w:rPr>
                            <w:t xml:space="preserve">26</w:t>
                          </w:r>
                          <w:r>
                            <w:rPr>
                              <w:rStyle w:val="97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0" o:spid="_x0000_s0" o:spt="202" type="#_x0000_t202" style="position:absolute;z-index:-251663872;o:allowoverlap:true;o:allowincell:true;mso-position-horizontal-relative:page;margin-left:296.45pt;mso-position-horizontal:absolute;mso-position-vertical-relative:page;margin-top:154.60pt;mso-position-vertical:absolute;width:5.80pt;height:12.75pt;mso-wrap-distance-left:5.00pt;mso-wrap-distance-top:0.00pt;mso-wrap-distance-right:5.00pt;mso-wrap-distance-bottom:0.00pt;v-text-anchor:top;visibility:visible;" filled="f" stroked="f">
              <v:textbox inset="0,0,0,0">
                <w:txbxContent>
                  <w:p>
                    <w:pPr>
                      <w:pStyle w:val="1003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974"/>
                      </w:rPr>
                      <w:t xml:space="preserve">26</w:t>
                    </w:r>
                    <w:r>
                      <w:rPr>
                        <w:rStyle w:val="97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"/>
        <w:szCs w:val="2"/>
      </w:rPr>
    </w:r>
    <w:r>
      <w:rPr>
        <w:sz w:val="2"/>
        <w:szCs w:val="2"/>
      </w:rPr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12.5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12.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1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1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" w:hanging="27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854" w:hanging="272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609" w:hanging="272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363" w:hanging="272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118" w:hanging="272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872" w:hanging="272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627" w:hanging="272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381" w:hanging="272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136" w:hanging="272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9.3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9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5"/>
      <w:numFmt w:val="decimal"/>
      <w:isLgl w:val="false"/>
      <w:suff w:val="tab"/>
      <w:lvlText w:val="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5">
    <w:multiLevelType w:val="hybridMultilevel"/>
    <w:lvl w:ilvl="0">
      <w:start w:val="5"/>
      <w:numFmt w:val="decimal"/>
      <w:isLgl w:val="false"/>
      <w:suff w:val="tab"/>
      <w:lvlText w:val="9.2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96" w:hanging="189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sz w:val="24"/>
        <w:szCs w:val="24"/>
        <w:lang w:val="ru-RU" w:eastAsia="en-US" w:bidi="ar-SA"/>
      </w:rPr>
    </w:lvl>
    <w:lvl w:ilvl="1">
      <w:start w:val="1"/>
      <w:numFmt w:val="bullet"/>
      <w:isLgl w:val="false"/>
      <w:suff w:val="tab"/>
      <w:lvlText w:val="•"/>
      <w:lvlJc w:val="left"/>
      <w:pPr>
        <w:ind w:left="1034" w:hanging="189"/>
      </w:pPr>
      <w:rPr>
        <w:rFonts w:hint="default"/>
        <w:lang w:val="ru-RU" w:eastAsia="en-US" w:bidi="ar-SA"/>
      </w:rPr>
    </w:lvl>
    <w:lvl w:ilvl="2">
      <w:start w:val="1"/>
      <w:numFmt w:val="bullet"/>
      <w:isLgl w:val="false"/>
      <w:suff w:val="tab"/>
      <w:lvlText w:val="•"/>
      <w:lvlJc w:val="left"/>
      <w:pPr>
        <w:ind w:left="1769" w:hanging="189"/>
      </w:pPr>
      <w:rPr>
        <w:rFonts w:hint="default"/>
        <w:lang w:val="ru-RU" w:eastAsia="en-US" w:bidi="ar-SA"/>
      </w:rPr>
    </w:lvl>
    <w:lvl w:ilvl="3">
      <w:start w:val="1"/>
      <w:numFmt w:val="bullet"/>
      <w:isLgl w:val="false"/>
      <w:suff w:val="tab"/>
      <w:lvlText w:val="•"/>
      <w:lvlJc w:val="left"/>
      <w:pPr>
        <w:ind w:left="2503" w:hanging="189"/>
      </w:pPr>
      <w:rPr>
        <w:rFonts w:hint="default"/>
        <w:lang w:val="ru-RU" w:eastAsia="en-US" w:bidi="ar-SA"/>
      </w:rPr>
    </w:lvl>
    <w:lvl w:ilvl="4">
      <w:start w:val="1"/>
      <w:numFmt w:val="bullet"/>
      <w:isLgl w:val="false"/>
      <w:suff w:val="tab"/>
      <w:lvlText w:val="•"/>
      <w:lvlJc w:val="left"/>
      <w:pPr>
        <w:ind w:left="3238" w:hanging="189"/>
      </w:pPr>
      <w:rPr>
        <w:rFonts w:hint="default"/>
        <w:lang w:val="ru-RU" w:eastAsia="en-US" w:bidi="ar-SA"/>
      </w:rPr>
    </w:lvl>
    <w:lvl w:ilvl="5">
      <w:start w:val="1"/>
      <w:numFmt w:val="bullet"/>
      <w:isLgl w:val="false"/>
      <w:suff w:val="tab"/>
      <w:lvlText w:val="•"/>
      <w:lvlJc w:val="left"/>
      <w:pPr>
        <w:ind w:left="3972" w:hanging="189"/>
      </w:pPr>
      <w:rPr>
        <w:rFonts w:hint="default"/>
        <w:lang w:val="ru-RU" w:eastAsia="en-US" w:bidi="ar-SA"/>
      </w:rPr>
    </w:lvl>
    <w:lvl w:ilvl="6">
      <w:start w:val="1"/>
      <w:numFmt w:val="bullet"/>
      <w:isLgl w:val="false"/>
      <w:suff w:val="tab"/>
      <w:lvlText w:val="•"/>
      <w:lvlJc w:val="left"/>
      <w:pPr>
        <w:ind w:left="4707" w:hanging="189"/>
      </w:pPr>
      <w:rPr>
        <w:rFonts w:hint="default"/>
        <w:lang w:val="ru-RU" w:eastAsia="en-US" w:bidi="ar-SA"/>
      </w:rPr>
    </w:lvl>
    <w:lvl w:ilvl="7">
      <w:start w:val="1"/>
      <w:numFmt w:val="bullet"/>
      <w:isLgl w:val="false"/>
      <w:suff w:val="tab"/>
      <w:lvlText w:val="•"/>
      <w:lvlJc w:val="left"/>
      <w:pPr>
        <w:ind w:left="5441" w:hanging="189"/>
      </w:pPr>
      <w:rPr>
        <w:rFonts w:hint="default"/>
        <w:lang w:val="ru-RU" w:eastAsia="en-US" w:bidi="ar-SA"/>
      </w:rPr>
    </w:lvl>
    <w:lvl w:ilvl="8">
      <w:start w:val="1"/>
      <w:numFmt w:val="bullet"/>
      <w:isLgl w:val="false"/>
      <w:suff w:val="tab"/>
      <w:lvlText w:val="•"/>
      <w:lvlJc w:val="left"/>
      <w:pPr>
        <w:ind w:left="6176" w:hanging="189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2023"/>
      <w:numFmt w:val="decimal"/>
      <w:isLgl w:val="false"/>
      <w:suff w:val="tab"/>
      <w:lvlText w:val="01.05.%1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-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4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18"/>
  </w:num>
  <w:num w:numId="5">
    <w:abstractNumId w:val="8"/>
  </w:num>
  <w:num w:numId="6">
    <w:abstractNumId w:val="0"/>
  </w:num>
  <w:num w:numId="7">
    <w:abstractNumId w:val="14"/>
  </w:num>
  <w:num w:numId="8">
    <w:abstractNumId w:val="19"/>
  </w:num>
  <w:num w:numId="9">
    <w:abstractNumId w:val="13"/>
  </w:num>
  <w:num w:numId="10">
    <w:abstractNumId w:val="15"/>
  </w:num>
  <w:num w:numId="11">
    <w:abstractNumId w:val="10"/>
  </w:num>
  <w:num w:numId="12">
    <w:abstractNumId w:val="17"/>
  </w:num>
  <w:num w:numId="13">
    <w:abstractNumId w:val="1"/>
  </w:num>
  <w:num w:numId="14">
    <w:abstractNumId w:val="5"/>
  </w:num>
  <w:num w:numId="15">
    <w:abstractNumId w:val="4"/>
  </w:num>
  <w:num w:numId="16">
    <w:abstractNumId w:val="3"/>
  </w:num>
  <w:num w:numId="17">
    <w:abstractNumId w:val="2"/>
  </w:num>
  <w:num w:numId="18">
    <w:abstractNumId w:val="6"/>
  </w:num>
  <w:num w:numId="19">
    <w:abstractNumId w:val="9"/>
  </w:num>
  <w:num w:numId="20">
    <w:abstractNumId w:val="16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ourier New" w:hAnsi="Courier New" w:eastAsia="Courier New" w:cs="Courier New"/>
        <w:sz w:val="24"/>
        <w:szCs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72" w:default="1">
    <w:name w:val="Normal"/>
    <w:rPr>
      <w:color w:val="000000"/>
    </w:rPr>
  </w:style>
  <w:style w:type="paragraph" w:styleId="773">
    <w:name w:val="Heading 1"/>
    <w:basedOn w:val="772"/>
    <w:next w:val="772"/>
    <w:link w:val="800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74">
    <w:name w:val="Heading 2"/>
    <w:basedOn w:val="772"/>
    <w:next w:val="772"/>
    <w:link w:val="80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75">
    <w:name w:val="Heading 3"/>
    <w:basedOn w:val="772"/>
    <w:next w:val="772"/>
    <w:link w:val="80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76">
    <w:name w:val="Heading 4"/>
    <w:basedOn w:val="772"/>
    <w:next w:val="772"/>
    <w:link w:val="803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77">
    <w:name w:val="Heading 5"/>
    <w:basedOn w:val="772"/>
    <w:next w:val="772"/>
    <w:link w:val="804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78">
    <w:name w:val="Heading 6"/>
    <w:basedOn w:val="772"/>
    <w:next w:val="772"/>
    <w:link w:val="805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79">
    <w:name w:val="Heading 7"/>
    <w:basedOn w:val="772"/>
    <w:next w:val="772"/>
    <w:link w:val="8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0">
    <w:name w:val="Heading 8"/>
    <w:basedOn w:val="772"/>
    <w:next w:val="772"/>
    <w:link w:val="807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1">
    <w:name w:val="Heading 9"/>
    <w:basedOn w:val="772"/>
    <w:next w:val="772"/>
    <w:link w:val="808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82" w:default="1">
    <w:name w:val="Default Paragraph Font"/>
    <w:uiPriority w:val="1"/>
    <w:semiHidden/>
    <w:unhideWhenUsed/>
  </w:style>
  <w:style w:type="table" w:styleId="78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84" w:default="1">
    <w:name w:val="No List"/>
    <w:uiPriority w:val="99"/>
    <w:semiHidden/>
    <w:unhideWhenUsed/>
  </w:style>
  <w:style w:type="character" w:styleId="785" w:customStyle="1">
    <w:name w:val="Heading 1 Char"/>
    <w:basedOn w:val="782"/>
    <w:uiPriority w:val="9"/>
    <w:rPr>
      <w:rFonts w:ascii="Arial" w:hAnsi="Arial" w:eastAsia="Arial" w:cs="Arial"/>
      <w:sz w:val="40"/>
      <w:szCs w:val="40"/>
    </w:rPr>
  </w:style>
  <w:style w:type="character" w:styleId="786" w:customStyle="1">
    <w:name w:val="Heading 2 Char"/>
    <w:basedOn w:val="782"/>
    <w:uiPriority w:val="9"/>
    <w:rPr>
      <w:rFonts w:ascii="Arial" w:hAnsi="Arial" w:eastAsia="Arial" w:cs="Arial"/>
      <w:sz w:val="34"/>
    </w:rPr>
  </w:style>
  <w:style w:type="character" w:styleId="787" w:customStyle="1">
    <w:name w:val="Heading 3 Char"/>
    <w:basedOn w:val="782"/>
    <w:uiPriority w:val="9"/>
    <w:rPr>
      <w:rFonts w:ascii="Arial" w:hAnsi="Arial" w:eastAsia="Arial" w:cs="Arial"/>
      <w:sz w:val="30"/>
      <w:szCs w:val="30"/>
    </w:rPr>
  </w:style>
  <w:style w:type="character" w:styleId="788" w:customStyle="1">
    <w:name w:val="Heading 4 Char"/>
    <w:basedOn w:val="782"/>
    <w:uiPriority w:val="9"/>
    <w:rPr>
      <w:rFonts w:ascii="Arial" w:hAnsi="Arial" w:eastAsia="Arial" w:cs="Arial"/>
      <w:b/>
      <w:bCs/>
      <w:sz w:val="26"/>
      <w:szCs w:val="26"/>
    </w:rPr>
  </w:style>
  <w:style w:type="character" w:styleId="789" w:customStyle="1">
    <w:name w:val="Heading 5 Char"/>
    <w:basedOn w:val="782"/>
    <w:uiPriority w:val="9"/>
    <w:rPr>
      <w:rFonts w:ascii="Arial" w:hAnsi="Arial" w:eastAsia="Arial" w:cs="Arial"/>
      <w:b/>
      <w:bCs/>
      <w:sz w:val="24"/>
      <w:szCs w:val="24"/>
    </w:rPr>
  </w:style>
  <w:style w:type="character" w:styleId="790" w:customStyle="1">
    <w:name w:val="Heading 6 Char"/>
    <w:basedOn w:val="782"/>
    <w:uiPriority w:val="9"/>
    <w:rPr>
      <w:rFonts w:ascii="Arial" w:hAnsi="Arial" w:eastAsia="Arial" w:cs="Arial"/>
      <w:b/>
      <w:bCs/>
      <w:sz w:val="22"/>
      <w:szCs w:val="22"/>
    </w:rPr>
  </w:style>
  <w:style w:type="character" w:styleId="791" w:customStyle="1">
    <w:name w:val="Heading 7 Char"/>
    <w:basedOn w:val="78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2" w:customStyle="1">
    <w:name w:val="Heading 8 Char"/>
    <w:basedOn w:val="782"/>
    <w:uiPriority w:val="9"/>
    <w:rPr>
      <w:rFonts w:ascii="Arial" w:hAnsi="Arial" w:eastAsia="Arial" w:cs="Arial"/>
      <w:i/>
      <w:iCs/>
      <w:sz w:val="22"/>
      <w:szCs w:val="22"/>
    </w:rPr>
  </w:style>
  <w:style w:type="character" w:styleId="793" w:customStyle="1">
    <w:name w:val="Heading 9 Char"/>
    <w:basedOn w:val="782"/>
    <w:uiPriority w:val="9"/>
    <w:rPr>
      <w:rFonts w:ascii="Arial" w:hAnsi="Arial" w:eastAsia="Arial" w:cs="Arial"/>
      <w:i/>
      <w:iCs/>
      <w:sz w:val="21"/>
      <w:szCs w:val="21"/>
    </w:rPr>
  </w:style>
  <w:style w:type="character" w:styleId="794" w:customStyle="1">
    <w:name w:val="Title Char"/>
    <w:basedOn w:val="782"/>
    <w:uiPriority w:val="10"/>
    <w:rPr>
      <w:sz w:val="48"/>
      <w:szCs w:val="48"/>
    </w:rPr>
  </w:style>
  <w:style w:type="character" w:styleId="795" w:customStyle="1">
    <w:name w:val="Subtitle Char"/>
    <w:basedOn w:val="782"/>
    <w:uiPriority w:val="11"/>
    <w:rPr>
      <w:sz w:val="24"/>
      <w:szCs w:val="24"/>
    </w:rPr>
  </w:style>
  <w:style w:type="character" w:styleId="796" w:customStyle="1">
    <w:name w:val="Quote Char"/>
    <w:uiPriority w:val="29"/>
    <w:rPr>
      <w:i/>
    </w:rPr>
  </w:style>
  <w:style w:type="character" w:styleId="797" w:customStyle="1">
    <w:name w:val="Intense Quote Char"/>
    <w:uiPriority w:val="30"/>
    <w:rPr>
      <w:i/>
    </w:rPr>
  </w:style>
  <w:style w:type="character" w:styleId="798" w:customStyle="1">
    <w:name w:val="Footnote Text Char"/>
    <w:uiPriority w:val="99"/>
    <w:rPr>
      <w:sz w:val="18"/>
    </w:rPr>
  </w:style>
  <w:style w:type="character" w:styleId="799" w:customStyle="1">
    <w:name w:val="Endnote Text Char"/>
    <w:uiPriority w:val="99"/>
    <w:rPr>
      <w:sz w:val="20"/>
    </w:rPr>
  </w:style>
  <w:style w:type="character" w:styleId="800" w:customStyle="1">
    <w:name w:val="Заголовок 1 Знак"/>
    <w:basedOn w:val="782"/>
    <w:link w:val="773"/>
    <w:uiPriority w:val="9"/>
    <w:rPr>
      <w:rFonts w:ascii="Arial" w:hAnsi="Arial" w:eastAsia="Arial" w:cs="Arial"/>
      <w:sz w:val="40"/>
      <w:szCs w:val="40"/>
    </w:rPr>
  </w:style>
  <w:style w:type="character" w:styleId="801" w:customStyle="1">
    <w:name w:val="Заголовок 2 Знак"/>
    <w:basedOn w:val="782"/>
    <w:link w:val="774"/>
    <w:uiPriority w:val="9"/>
    <w:rPr>
      <w:rFonts w:ascii="Arial" w:hAnsi="Arial" w:eastAsia="Arial" w:cs="Arial"/>
      <w:sz w:val="34"/>
    </w:rPr>
  </w:style>
  <w:style w:type="character" w:styleId="802" w:customStyle="1">
    <w:name w:val="Заголовок 3 Знак"/>
    <w:basedOn w:val="782"/>
    <w:link w:val="775"/>
    <w:uiPriority w:val="9"/>
    <w:rPr>
      <w:rFonts w:ascii="Arial" w:hAnsi="Arial" w:eastAsia="Arial" w:cs="Arial"/>
      <w:sz w:val="30"/>
      <w:szCs w:val="30"/>
    </w:rPr>
  </w:style>
  <w:style w:type="character" w:styleId="803" w:customStyle="1">
    <w:name w:val="Заголовок 4 Знак"/>
    <w:basedOn w:val="782"/>
    <w:link w:val="776"/>
    <w:uiPriority w:val="9"/>
    <w:rPr>
      <w:rFonts w:ascii="Arial" w:hAnsi="Arial" w:eastAsia="Arial" w:cs="Arial"/>
      <w:b/>
      <w:bCs/>
      <w:sz w:val="26"/>
      <w:szCs w:val="26"/>
    </w:rPr>
  </w:style>
  <w:style w:type="character" w:styleId="804" w:customStyle="1">
    <w:name w:val="Заголовок 5 Знак"/>
    <w:basedOn w:val="782"/>
    <w:link w:val="777"/>
    <w:uiPriority w:val="9"/>
    <w:rPr>
      <w:rFonts w:ascii="Arial" w:hAnsi="Arial" w:eastAsia="Arial" w:cs="Arial"/>
      <w:b/>
      <w:bCs/>
      <w:sz w:val="24"/>
      <w:szCs w:val="24"/>
    </w:rPr>
  </w:style>
  <w:style w:type="character" w:styleId="805" w:customStyle="1">
    <w:name w:val="Заголовок 6 Знак"/>
    <w:basedOn w:val="782"/>
    <w:link w:val="778"/>
    <w:uiPriority w:val="9"/>
    <w:rPr>
      <w:rFonts w:ascii="Arial" w:hAnsi="Arial" w:eastAsia="Arial" w:cs="Arial"/>
      <w:b/>
      <w:bCs/>
      <w:sz w:val="22"/>
      <w:szCs w:val="22"/>
    </w:rPr>
  </w:style>
  <w:style w:type="character" w:styleId="806" w:customStyle="1">
    <w:name w:val="Заголовок 7 Знак"/>
    <w:basedOn w:val="782"/>
    <w:link w:val="77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07" w:customStyle="1">
    <w:name w:val="Заголовок 8 Знак"/>
    <w:basedOn w:val="782"/>
    <w:link w:val="780"/>
    <w:uiPriority w:val="9"/>
    <w:rPr>
      <w:rFonts w:ascii="Arial" w:hAnsi="Arial" w:eastAsia="Arial" w:cs="Arial"/>
      <w:i/>
      <w:iCs/>
      <w:sz w:val="22"/>
      <w:szCs w:val="22"/>
    </w:rPr>
  </w:style>
  <w:style w:type="character" w:styleId="808" w:customStyle="1">
    <w:name w:val="Заголовок 9 Знак"/>
    <w:basedOn w:val="782"/>
    <w:link w:val="781"/>
    <w:uiPriority w:val="9"/>
    <w:rPr>
      <w:rFonts w:ascii="Arial" w:hAnsi="Arial" w:eastAsia="Arial" w:cs="Arial"/>
      <w:i/>
      <w:iCs/>
      <w:sz w:val="21"/>
      <w:szCs w:val="21"/>
    </w:rPr>
  </w:style>
  <w:style w:type="paragraph" w:styleId="809">
    <w:name w:val="Title"/>
    <w:basedOn w:val="772"/>
    <w:next w:val="772"/>
    <w:link w:val="810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810" w:customStyle="1">
    <w:name w:val="Название Знак"/>
    <w:basedOn w:val="782"/>
    <w:link w:val="809"/>
    <w:uiPriority w:val="10"/>
    <w:rPr>
      <w:sz w:val="48"/>
      <w:szCs w:val="48"/>
    </w:rPr>
  </w:style>
  <w:style w:type="paragraph" w:styleId="811">
    <w:name w:val="Subtitle"/>
    <w:basedOn w:val="772"/>
    <w:next w:val="772"/>
    <w:link w:val="812"/>
    <w:uiPriority w:val="11"/>
    <w:qFormat/>
    <w:pPr>
      <w:spacing w:before="200" w:after="200"/>
    </w:pPr>
  </w:style>
  <w:style w:type="character" w:styleId="812" w:customStyle="1">
    <w:name w:val="Подзаголовок Знак"/>
    <w:basedOn w:val="782"/>
    <w:link w:val="811"/>
    <w:uiPriority w:val="11"/>
    <w:rPr>
      <w:sz w:val="24"/>
      <w:szCs w:val="24"/>
    </w:rPr>
  </w:style>
  <w:style w:type="paragraph" w:styleId="813">
    <w:name w:val="Quote"/>
    <w:basedOn w:val="772"/>
    <w:next w:val="772"/>
    <w:link w:val="814"/>
    <w:uiPriority w:val="29"/>
    <w:qFormat/>
    <w:pPr>
      <w:ind w:left="720" w:right="720"/>
    </w:pPr>
    <w:rPr>
      <w:i/>
    </w:rPr>
  </w:style>
  <w:style w:type="character" w:styleId="814" w:customStyle="1">
    <w:name w:val="Цитата 2 Знак"/>
    <w:link w:val="813"/>
    <w:uiPriority w:val="29"/>
    <w:rPr>
      <w:i/>
    </w:rPr>
  </w:style>
  <w:style w:type="paragraph" w:styleId="815">
    <w:name w:val="Intense Quote"/>
    <w:basedOn w:val="772"/>
    <w:next w:val="772"/>
    <w:link w:val="81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816" w:customStyle="1">
    <w:name w:val="Выделенная цитата Знак"/>
    <w:link w:val="815"/>
    <w:uiPriority w:val="30"/>
    <w:rPr>
      <w:i/>
    </w:rPr>
  </w:style>
  <w:style w:type="character" w:styleId="817" w:customStyle="1">
    <w:name w:val="Header Char"/>
    <w:basedOn w:val="782"/>
    <w:uiPriority w:val="99"/>
  </w:style>
  <w:style w:type="character" w:styleId="818" w:customStyle="1">
    <w:name w:val="Footer Char"/>
    <w:basedOn w:val="782"/>
    <w:uiPriority w:val="99"/>
  </w:style>
  <w:style w:type="paragraph" w:styleId="819">
    <w:name w:val="Caption"/>
    <w:basedOn w:val="772"/>
    <w:next w:val="772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820" w:customStyle="1">
    <w:name w:val="Caption Char"/>
    <w:uiPriority w:val="99"/>
  </w:style>
  <w:style w:type="table" w:styleId="821">
    <w:name w:val="Table Grid"/>
    <w:basedOn w:val="78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22" w:customStyle="1">
    <w:name w:val="Table Grid Light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3" w:customStyle="1">
    <w:name w:val="Plain Table 1"/>
    <w:basedOn w:val="783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4" w:customStyle="1">
    <w:name w:val="Plain Table 2"/>
    <w:basedOn w:val="783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25" w:customStyle="1">
    <w:name w:val="Plain Table 3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26" w:customStyle="1">
    <w:name w:val="Plain Table 4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Plain Table 5"/>
    <w:basedOn w:val="783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 w:fill="auto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28" w:customStyle="1">
    <w:name w:val="Grid Table 1 Light"/>
    <w:basedOn w:val="783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Grid Table 1 Light - Accent 1"/>
    <w:basedOn w:val="78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Grid Table 1 Light - Accent 2"/>
    <w:basedOn w:val="7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Grid Table 1 Light - Accent 3"/>
    <w:basedOn w:val="7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Grid Table 1 Light - Accent 4"/>
    <w:basedOn w:val="7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Grid Table 1 Light - Accent 5"/>
    <w:basedOn w:val="78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Grid Table 1 Light - Accent 6"/>
    <w:basedOn w:val="7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2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6" w:customStyle="1">
    <w:name w:val="Grid Table 2 - Accent 1"/>
    <w:basedOn w:val="78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7" w:customStyle="1">
    <w:name w:val="Grid Table 2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8" w:customStyle="1">
    <w:name w:val="Grid Table 2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39" w:customStyle="1">
    <w:name w:val="Grid Table 2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0" w:customStyle="1">
    <w:name w:val="Grid Table 2 - Accent 5"/>
    <w:basedOn w:val="78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1" w:customStyle="1">
    <w:name w:val="Grid Table 2 - Accent 6"/>
    <w:basedOn w:val="7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2" w:customStyle="1">
    <w:name w:val="Grid Table 3"/>
    <w:basedOn w:val="783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3" w:customStyle="1">
    <w:name w:val="Grid Table 3 - Accent 1"/>
    <w:basedOn w:val="783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4" w:customStyle="1">
    <w:name w:val="Grid Table 3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5" w:customStyle="1">
    <w:name w:val="Grid Table 3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6" w:customStyle="1">
    <w:name w:val="Grid Table 3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7" w:customStyle="1">
    <w:name w:val="Grid Table 3 - Accent 5"/>
    <w:basedOn w:val="783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8" w:customStyle="1">
    <w:name w:val="Grid Table 3 - Accent 6"/>
    <w:basedOn w:val="783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</w:style>
  <w:style w:type="table" w:styleId="849" w:customStyle="1">
    <w:name w:val="Grid Table 4"/>
    <w:basedOn w:val="783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0" w:customStyle="1">
    <w:name w:val="Grid Table 4 - Accent 1"/>
    <w:basedOn w:val="783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68a2d8" w:themeColor="accent1" w:themeTint="EA" w:fill="68a2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1" w:customStyle="1">
    <w:name w:val="Grid Table 4 - Accent 2"/>
    <w:basedOn w:val="783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2" w:customStyle="1">
    <w:name w:val="Grid Table 4 - Accent 3"/>
    <w:basedOn w:val="783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53" w:customStyle="1">
    <w:name w:val="Grid Table 4 - Accent 4"/>
    <w:basedOn w:val="783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54" w:customStyle="1">
    <w:name w:val="Grid Table 4 - Accent 5"/>
    <w:basedOn w:val="783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55" w:customStyle="1">
    <w:name w:val="Grid Table 4 - Accent 6"/>
    <w:basedOn w:val="783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56" w:customStyle="1">
    <w:name w:val="Grid Table 5 Dark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</w:style>
  <w:style w:type="table" w:styleId="857" w:customStyle="1">
    <w:name w:val="Grid Table 5 Dark- Accent 1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</w:style>
  <w:style w:type="table" w:styleId="858" w:customStyle="1">
    <w:name w:val="Grid Table 5 Dark - Accent 2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</w:style>
  <w:style w:type="table" w:styleId="859" w:customStyle="1">
    <w:name w:val="Grid Table 5 Dark - Accent 3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</w:style>
  <w:style w:type="table" w:styleId="860" w:customStyle="1">
    <w:name w:val="Grid Table 5 Dark- Accent 4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</w:style>
  <w:style w:type="table" w:styleId="861" w:customStyle="1">
    <w:name w:val="Grid Table 5 Dark - Accent 5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</w:style>
  <w:style w:type="table" w:styleId="862" w:customStyle="1">
    <w:name w:val="Grid Table 5 Dark - Accent 6"/>
    <w:basedOn w:val="783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</w:style>
  <w:style w:type="table" w:styleId="863" w:customStyle="1">
    <w:name w:val="Grid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64" w:customStyle="1">
    <w:name w:val="Grid Table 6 Colorful - Accent 1"/>
    <w:basedOn w:val="783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65" w:customStyle="1">
    <w:name w:val="Grid Table 6 Colorful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66" w:customStyle="1">
    <w:name w:val="Grid Table 6 Colorful - Accent 3"/>
    <w:basedOn w:val="783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67" w:customStyle="1">
    <w:name w:val="Grid Table 6 Colorful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68" w:customStyle="1">
    <w:name w:val="Grid Table 6 Colorful - Accent 5"/>
    <w:basedOn w:val="783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69" w:customStyle="1">
    <w:name w:val="Grid Table 6 Colorful - Accent 6"/>
    <w:basedOn w:val="783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0" w:customStyle="1">
    <w:name w:val="Grid Table 7 Colorful"/>
    <w:basedOn w:val="783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1" w:customStyle="1">
    <w:name w:val="Grid Table 7 Colorful - Accent 1"/>
    <w:basedOn w:val="783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2" w:customStyle="1">
    <w:name w:val="Grid Table 7 Colorful - Accent 2"/>
    <w:basedOn w:val="783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3" w:customStyle="1">
    <w:name w:val="Grid Table 7 Colorful - Accent 3"/>
    <w:basedOn w:val="783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4" w:customStyle="1">
    <w:name w:val="Grid Table 7 Colorful - Accent 4"/>
    <w:basedOn w:val="783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5" w:customStyle="1">
    <w:name w:val="Grid Table 7 Colorful - Accent 5"/>
    <w:basedOn w:val="783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6" w:customStyle="1">
    <w:name w:val="Grid Table 7 Colorful - Accent 6"/>
    <w:basedOn w:val="783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  <w:shd w:val="clear" w:color="ffffff" w:fill="auto"/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77" w:customStyle="1">
    <w:name w:val="List Table 1 Light"/>
    <w:basedOn w:val="783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List Table 1 Light - Accent 1"/>
    <w:basedOn w:val="783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List Table 1 Light - Accent 2"/>
    <w:basedOn w:val="783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List Table 1 Light - Accent 3"/>
    <w:basedOn w:val="783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1 Light - Accent 4"/>
    <w:basedOn w:val="783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1 Light - Accent 5"/>
    <w:basedOn w:val="783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1 Light - Accent 6"/>
    <w:basedOn w:val="783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2"/>
    <w:basedOn w:val="783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85" w:customStyle="1">
    <w:name w:val="List Table 2 - Accent 1"/>
    <w:basedOn w:val="783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86" w:customStyle="1">
    <w:name w:val="List Table 2 - Accent 2"/>
    <w:basedOn w:val="783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87" w:customStyle="1">
    <w:name w:val="List Table 2 - Accent 3"/>
    <w:basedOn w:val="783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88" w:customStyle="1">
    <w:name w:val="List Table 2 - Accent 4"/>
    <w:basedOn w:val="783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89" w:customStyle="1">
    <w:name w:val="List Table 2 - Accent 5"/>
    <w:basedOn w:val="783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0" w:customStyle="1">
    <w:name w:val="List Table 2 - Accent 6"/>
    <w:basedOn w:val="783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1" w:customStyle="1">
    <w:name w:val="List Table 3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2" w:customStyle="1">
    <w:name w:val="List Table 3 - Accent 1"/>
    <w:basedOn w:val="783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3" w:customStyle="1">
    <w:name w:val="List Table 3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4" w:customStyle="1">
    <w:name w:val="List Table 3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5" w:customStyle="1">
    <w:name w:val="List Table 3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6" w:customStyle="1">
    <w:name w:val="List Table 3 - Accent 5"/>
    <w:basedOn w:val="783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7" w:customStyle="1">
    <w:name w:val="List Table 3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4"/>
    <w:basedOn w:val="783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4 - Accent 1"/>
    <w:basedOn w:val="783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4 - Accent 2"/>
    <w:basedOn w:val="783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4 - Accent 3"/>
    <w:basedOn w:val="783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4 - Accent 4"/>
    <w:basedOn w:val="783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4 - Accent 5"/>
    <w:basedOn w:val="783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4 - Accent 6"/>
    <w:basedOn w:val="783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5 Dark"/>
    <w:basedOn w:val="783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themeColor="text1" w:themeTint="80" w:fill="7f7f7f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7f7f7f" w:themeColor="text1" w:themeTint="80" w:fill="7f7f7f" w:themeFill="text1" w:themeFillTint="80"/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6" w:customStyle="1">
    <w:name w:val="List Table 5 Dark - Accent 1"/>
    <w:basedOn w:val="783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7" w:customStyle="1">
    <w:name w:val="List Table 5 Dark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themeColor="accent2" w:themeTint="97" w:fill="f4b184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f4b184" w:themeColor="accent2" w:themeTint="97" w:fill="f4b184" w:themeFill="accent2" w:themeFillTint="97"/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8" w:customStyle="1">
    <w:name w:val="List Table 5 Dark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09" w:customStyle="1">
    <w:name w:val="List Table 5 Dark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themeColor="accent4" w:themeTint="9A" w:fill="ffd865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ffd865" w:themeColor="accent4" w:themeTint="9A" w:fill="ffd865" w:themeFill="accent4" w:themeFillTint="9A"/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0" w:customStyle="1">
    <w:name w:val="List Table 5 Dark - Accent 5"/>
    <w:basedOn w:val="783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themeColor="accent5" w:themeTint="9A" w:fill="8d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8da9db" w:themeColor="accent5" w:themeTint="9A" w:fill="8da9db" w:themeFill="accent5" w:themeFillTint="9A"/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1" w:customStyle="1">
    <w:name w:val="List Table 5 Dark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2" w:customStyle="1">
    <w:name w:val="List Table 6 Colorful"/>
    <w:basedOn w:val="783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13" w:customStyle="1">
    <w:name w:val="List Table 6 Colorful - Accent 1"/>
    <w:basedOn w:val="783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14" w:customStyle="1">
    <w:name w:val="List Table 6 Colorful - Accent 2"/>
    <w:basedOn w:val="783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15" w:customStyle="1">
    <w:name w:val="List Table 6 Colorful - Accent 3"/>
    <w:basedOn w:val="783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16" w:customStyle="1">
    <w:name w:val="List Table 6 Colorful - Accent 4"/>
    <w:basedOn w:val="783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17" w:customStyle="1">
    <w:name w:val="List Table 6 Colorful - Accent 5"/>
    <w:basedOn w:val="783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18" w:customStyle="1">
    <w:name w:val="List Table 6 Colorful - Accent 6"/>
    <w:basedOn w:val="783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19" w:customStyle="1">
    <w:name w:val="List Table 7 Colorful"/>
    <w:basedOn w:val="783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0" w:customStyle="1">
    <w:name w:val="List Table 7 Colorful - Accent 1"/>
    <w:basedOn w:val="783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1" w:customStyle="1">
    <w:name w:val="List Table 7 Colorful - Accent 2"/>
    <w:basedOn w:val="783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2" w:customStyle="1">
    <w:name w:val="List Table 7 Colorful - Accent 3"/>
    <w:basedOn w:val="783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3" w:customStyle="1">
    <w:name w:val="List Table 7 Colorful - Accent 4"/>
    <w:basedOn w:val="783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4" w:customStyle="1">
    <w:name w:val="List Table 7 Colorful - Accent 5"/>
    <w:basedOn w:val="783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5" w:customStyle="1">
    <w:name w:val="List Table 7 Colorful - Accent 6"/>
    <w:basedOn w:val="783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  <w:shd w:val="clear" w:color="ffffff" w:fill="auto"/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926" w:customStyle="1">
    <w:name w:val="Lined - Accent"/>
    <w:basedOn w:val="78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27" w:customStyle="1">
    <w:name w:val="Lined - Accent 1"/>
    <w:basedOn w:val="78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28" w:customStyle="1">
    <w:name w:val="Lined - Accent 2"/>
    <w:basedOn w:val="78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29" w:customStyle="1">
    <w:name w:val="Lined - Accent 3"/>
    <w:basedOn w:val="78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0" w:customStyle="1">
    <w:name w:val="Lined - Accent 4"/>
    <w:basedOn w:val="78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1" w:customStyle="1">
    <w:name w:val="Lined - Accent 5"/>
    <w:basedOn w:val="78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2" w:customStyle="1">
    <w:name w:val="Lined - Accent 6"/>
    <w:basedOn w:val="783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33" w:customStyle="1">
    <w:name w:val="Bordered &amp; Lined - Accent"/>
    <w:basedOn w:val="78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Bordered &amp; Lined - Accent 1"/>
    <w:basedOn w:val="78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5" w:customStyle="1">
    <w:name w:val="Bordered &amp; Lined - Accent 2"/>
    <w:basedOn w:val="78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6" w:customStyle="1">
    <w:name w:val="Bordered &amp; Lined - Accent 3"/>
    <w:basedOn w:val="78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7" w:customStyle="1">
    <w:name w:val="Bordered &amp; Lined - Accent 4"/>
    <w:basedOn w:val="78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8" w:customStyle="1">
    <w:name w:val="Bordered &amp; Lined - Accent 5"/>
    <w:basedOn w:val="78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9" w:customStyle="1">
    <w:name w:val="Bordered &amp; Lined - Accent 6"/>
    <w:basedOn w:val="783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0" w:customStyle="1">
    <w:name w:val="Bordered"/>
    <w:basedOn w:val="783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1" w:customStyle="1">
    <w:name w:val="Bordered - Accent 1"/>
    <w:basedOn w:val="783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2" w:customStyle="1">
    <w:name w:val="Bordered - Accent 2"/>
    <w:basedOn w:val="783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43" w:customStyle="1">
    <w:name w:val="Bordered - Accent 3"/>
    <w:basedOn w:val="783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44" w:customStyle="1">
    <w:name w:val="Bordered - Accent 4"/>
    <w:basedOn w:val="783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45" w:customStyle="1">
    <w:name w:val="Bordered - Accent 5"/>
    <w:basedOn w:val="783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46" w:customStyle="1">
    <w:name w:val="Bordered - Accent 6"/>
    <w:basedOn w:val="783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47">
    <w:name w:val="footnote text"/>
    <w:basedOn w:val="772"/>
    <w:link w:val="948"/>
    <w:uiPriority w:val="99"/>
    <w:semiHidden/>
    <w:unhideWhenUsed/>
    <w:pPr>
      <w:spacing w:after="40"/>
    </w:pPr>
    <w:rPr>
      <w:sz w:val="18"/>
    </w:rPr>
  </w:style>
  <w:style w:type="character" w:styleId="948" w:customStyle="1">
    <w:name w:val="Текст сноски Знак"/>
    <w:link w:val="947"/>
    <w:uiPriority w:val="99"/>
    <w:rPr>
      <w:sz w:val="18"/>
    </w:rPr>
  </w:style>
  <w:style w:type="character" w:styleId="949">
    <w:name w:val="footnote reference"/>
    <w:basedOn w:val="782"/>
    <w:uiPriority w:val="99"/>
    <w:unhideWhenUsed/>
    <w:rPr>
      <w:vertAlign w:val="superscript"/>
    </w:rPr>
  </w:style>
  <w:style w:type="paragraph" w:styleId="950">
    <w:name w:val="endnote text"/>
    <w:basedOn w:val="772"/>
    <w:link w:val="951"/>
    <w:uiPriority w:val="99"/>
    <w:semiHidden/>
    <w:unhideWhenUsed/>
    <w:rPr>
      <w:sz w:val="20"/>
    </w:rPr>
  </w:style>
  <w:style w:type="character" w:styleId="951" w:customStyle="1">
    <w:name w:val="Текст концевой сноски Знак"/>
    <w:link w:val="950"/>
    <w:uiPriority w:val="99"/>
    <w:rPr>
      <w:sz w:val="20"/>
    </w:rPr>
  </w:style>
  <w:style w:type="character" w:styleId="952">
    <w:name w:val="endnote reference"/>
    <w:basedOn w:val="782"/>
    <w:uiPriority w:val="99"/>
    <w:semiHidden/>
    <w:unhideWhenUsed/>
    <w:rPr>
      <w:vertAlign w:val="superscript"/>
    </w:rPr>
  </w:style>
  <w:style w:type="paragraph" w:styleId="953">
    <w:name w:val="toc 1"/>
    <w:basedOn w:val="772"/>
    <w:next w:val="772"/>
    <w:uiPriority w:val="39"/>
    <w:unhideWhenUsed/>
    <w:pPr>
      <w:spacing w:after="57"/>
    </w:pPr>
  </w:style>
  <w:style w:type="paragraph" w:styleId="954">
    <w:name w:val="toc 2"/>
    <w:basedOn w:val="772"/>
    <w:next w:val="772"/>
    <w:uiPriority w:val="39"/>
    <w:unhideWhenUsed/>
    <w:pPr>
      <w:spacing w:after="57"/>
      <w:ind w:left="283"/>
    </w:pPr>
  </w:style>
  <w:style w:type="paragraph" w:styleId="955">
    <w:name w:val="toc 3"/>
    <w:basedOn w:val="772"/>
    <w:next w:val="772"/>
    <w:uiPriority w:val="39"/>
    <w:unhideWhenUsed/>
    <w:pPr>
      <w:spacing w:after="57"/>
      <w:ind w:left="567"/>
    </w:pPr>
  </w:style>
  <w:style w:type="paragraph" w:styleId="956">
    <w:name w:val="toc 4"/>
    <w:basedOn w:val="772"/>
    <w:next w:val="772"/>
    <w:uiPriority w:val="39"/>
    <w:unhideWhenUsed/>
    <w:pPr>
      <w:spacing w:after="57"/>
      <w:ind w:left="850"/>
    </w:pPr>
  </w:style>
  <w:style w:type="paragraph" w:styleId="957">
    <w:name w:val="toc 5"/>
    <w:basedOn w:val="772"/>
    <w:next w:val="772"/>
    <w:uiPriority w:val="39"/>
    <w:unhideWhenUsed/>
    <w:pPr>
      <w:spacing w:after="57"/>
      <w:ind w:left="1134"/>
    </w:pPr>
  </w:style>
  <w:style w:type="paragraph" w:styleId="958">
    <w:name w:val="toc 6"/>
    <w:basedOn w:val="772"/>
    <w:next w:val="772"/>
    <w:uiPriority w:val="39"/>
    <w:unhideWhenUsed/>
    <w:pPr>
      <w:spacing w:after="57"/>
      <w:ind w:left="1417"/>
    </w:pPr>
  </w:style>
  <w:style w:type="paragraph" w:styleId="959">
    <w:name w:val="toc 7"/>
    <w:basedOn w:val="772"/>
    <w:next w:val="772"/>
    <w:uiPriority w:val="39"/>
    <w:unhideWhenUsed/>
    <w:pPr>
      <w:spacing w:after="57"/>
      <w:ind w:left="1701"/>
    </w:pPr>
  </w:style>
  <w:style w:type="paragraph" w:styleId="960">
    <w:name w:val="toc 8"/>
    <w:basedOn w:val="772"/>
    <w:next w:val="772"/>
    <w:uiPriority w:val="39"/>
    <w:unhideWhenUsed/>
    <w:pPr>
      <w:spacing w:after="57"/>
      <w:ind w:left="1984"/>
    </w:pPr>
  </w:style>
  <w:style w:type="paragraph" w:styleId="961">
    <w:name w:val="toc 9"/>
    <w:basedOn w:val="772"/>
    <w:next w:val="772"/>
    <w:uiPriority w:val="39"/>
    <w:unhideWhenUsed/>
    <w:pPr>
      <w:spacing w:after="57"/>
      <w:ind w:left="2268"/>
    </w:pPr>
  </w:style>
  <w:style w:type="paragraph" w:styleId="962">
    <w:name w:val="TOC Heading"/>
    <w:uiPriority w:val="39"/>
    <w:unhideWhenUsed/>
  </w:style>
  <w:style w:type="paragraph" w:styleId="963">
    <w:name w:val="table of figures"/>
    <w:basedOn w:val="772"/>
    <w:next w:val="772"/>
    <w:uiPriority w:val="99"/>
    <w:unhideWhenUsed/>
  </w:style>
  <w:style w:type="character" w:styleId="964">
    <w:name w:val="Hyperlink"/>
    <w:basedOn w:val="782"/>
    <w:rPr>
      <w:color w:val="0066cc"/>
      <w:u w:val="single"/>
    </w:rPr>
  </w:style>
  <w:style w:type="character" w:styleId="965" w:customStyle="1">
    <w:name w:val="Основной текст (2)"/>
    <w:basedOn w:val="78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styleId="966" w:customStyle="1">
    <w:name w:val="Основной текст (2)_"/>
    <w:basedOn w:val="782"/>
    <w:link w:val="100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styleId="967" w:customStyle="1">
    <w:name w:val="Основной текст (3)_"/>
    <w:basedOn w:val="782"/>
    <w:link w:val="100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styleId="968" w:customStyle="1">
    <w:name w:val="Основной текст (3) + 4 pt"/>
    <w:basedOn w:val="96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lang w:val="ru-RU"/>
    </w:rPr>
  </w:style>
  <w:style w:type="character" w:styleId="969" w:customStyle="1">
    <w:name w:val="Основной текст (3) + Интервал 12 pt"/>
    <w:basedOn w:val="96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250"/>
      <w:position w:val="0"/>
      <w:sz w:val="14"/>
      <w:szCs w:val="14"/>
      <w:u w:val="none"/>
      <w:lang w:val="ru-RU"/>
    </w:rPr>
  </w:style>
  <w:style w:type="character" w:styleId="970" w:customStyle="1">
    <w:name w:val="Основной текст_"/>
    <w:basedOn w:val="782"/>
    <w:link w:val="100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971" w:customStyle="1">
    <w:name w:val="Основной текст + 13;5 pt"/>
    <w:basedOn w:val="97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7"/>
      <w:szCs w:val="27"/>
      <w:u w:val="none"/>
      <w:lang w:val="ru-RU"/>
    </w:rPr>
  </w:style>
  <w:style w:type="character" w:styleId="972" w:customStyle="1">
    <w:name w:val="Колонтитул_"/>
    <w:basedOn w:val="782"/>
    <w:link w:val="1003"/>
    <w:rPr>
      <w:rFonts w:ascii="Trebuchet MS" w:hAnsi="Trebuchet MS" w:eastAsia="Trebuchet MS" w:cs="Trebuchet MS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styleId="973" w:customStyle="1">
    <w:name w:val="Колонтитул"/>
    <w:basedOn w:val="972"/>
    <w:rPr>
      <w:rFonts w:ascii="Trebuchet MS" w:hAnsi="Trebuchet MS" w:eastAsia="Trebuchet MS" w:cs="Trebuchet MS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</w:rPr>
  </w:style>
  <w:style w:type="character" w:styleId="974" w:customStyle="1">
    <w:name w:val="Колонтитул"/>
    <w:basedOn w:val="972"/>
    <w:rPr>
      <w:rFonts w:ascii="Trebuchet MS" w:hAnsi="Trebuchet MS" w:eastAsia="Trebuchet MS" w:cs="Trebuchet MS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</w:rPr>
  </w:style>
  <w:style w:type="character" w:styleId="975" w:customStyle="1">
    <w:name w:val="Основной текст + 13 pt"/>
    <w:basedOn w:val="97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6"/>
      <w:szCs w:val="26"/>
      <w:u w:val="none"/>
      <w:lang w:val="en-US"/>
    </w:rPr>
  </w:style>
  <w:style w:type="character" w:styleId="976" w:customStyle="1">
    <w:name w:val="Колонтитул + Times New Roman;12 pt"/>
    <w:basedOn w:val="97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4"/>
      <w:szCs w:val="24"/>
      <w:u w:val="none"/>
    </w:rPr>
  </w:style>
  <w:style w:type="character" w:styleId="977" w:customStyle="1">
    <w:name w:val="Колонтитул + Arial"/>
    <w:basedOn w:val="972"/>
    <w:rPr>
      <w:rFonts w:ascii="Arial" w:hAnsi="Arial" w:eastAsia="Arial" w:cs="Arial"/>
      <w:b w:val="0"/>
      <w:bCs w:val="0"/>
      <w:i w:val="0"/>
      <w:iCs w:val="0"/>
      <w:smallCaps w:val="0"/>
      <w:strike w:val="0"/>
      <w:color w:val="000000"/>
      <w:spacing w:val="0"/>
      <w:position w:val="0"/>
      <w:sz w:val="22"/>
      <w:szCs w:val="22"/>
      <w:u w:val="none"/>
    </w:rPr>
  </w:style>
  <w:style w:type="character" w:styleId="978" w:customStyle="1">
    <w:name w:val="Основной текст (4)_"/>
    <w:basedOn w:val="782"/>
    <w:link w:val="1004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31"/>
      <w:szCs w:val="31"/>
      <w:u w:val="none"/>
    </w:rPr>
  </w:style>
  <w:style w:type="character" w:styleId="979" w:customStyle="1">
    <w:name w:val="Основной текст1"/>
    <w:basedOn w:val="97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980" w:customStyle="1">
    <w:name w:val="Основной текст + Полужирный"/>
    <w:basedOn w:val="970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981" w:customStyle="1">
    <w:name w:val="Основной текст + Курсив"/>
    <w:basedOn w:val="970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color w:val="000000"/>
      <w:spacing w:val="0"/>
      <w:position w:val="0"/>
      <w:sz w:val="23"/>
      <w:szCs w:val="23"/>
      <w:u w:val="none"/>
      <w:lang w:val="ru-RU"/>
    </w:rPr>
  </w:style>
  <w:style w:type="character" w:styleId="982" w:customStyle="1">
    <w:name w:val="Основной текст + Arial;10 pt;Курсив"/>
    <w:basedOn w:val="970"/>
    <w:rPr>
      <w:rFonts w:ascii="Arial" w:hAnsi="Arial" w:eastAsia="Arial" w:cs="Arial"/>
      <w:b w:val="0"/>
      <w:bCs w:val="0"/>
      <w:i/>
      <w:iCs/>
      <w:smallCaps w:val="0"/>
      <w:strike w:val="0"/>
      <w:color w:val="000000"/>
      <w:spacing w:val="0"/>
      <w:position w:val="0"/>
      <w:sz w:val="20"/>
      <w:szCs w:val="20"/>
      <w:u w:val="none"/>
    </w:rPr>
  </w:style>
  <w:style w:type="character" w:styleId="983" w:customStyle="1">
    <w:name w:val="Основной текст2"/>
    <w:basedOn w:val="78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styleId="984" w:customStyle="1">
    <w:name w:val="Основной текст (5)_"/>
    <w:basedOn w:val="782"/>
    <w:link w:val="1005"/>
    <w:rPr>
      <w:rFonts w:ascii="Arial" w:hAnsi="Arial" w:eastAsia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styleId="985" w:customStyle="1">
    <w:name w:val="Основной текст (5) + Trebuchet MS;6;5 pt"/>
    <w:basedOn w:val="984"/>
    <w:rPr>
      <w:rFonts w:ascii="Trebuchet MS" w:hAnsi="Trebuchet MS" w:eastAsia="Trebuchet MS" w:cs="Trebuchet MS"/>
      <w:b w:val="0"/>
      <w:bCs w:val="0"/>
      <w:i w:val="0"/>
      <w:iCs w:val="0"/>
      <w:smallCaps w:val="0"/>
      <w:strike w:val="0"/>
      <w:color w:val="000000"/>
      <w:spacing w:val="0"/>
      <w:position w:val="0"/>
      <w:sz w:val="13"/>
      <w:szCs w:val="13"/>
      <w:u w:val="none"/>
    </w:rPr>
  </w:style>
  <w:style w:type="character" w:styleId="986" w:customStyle="1">
    <w:name w:val="Основной текст (6)_"/>
    <w:basedOn w:val="782"/>
    <w:link w:val="1006"/>
    <w:rPr>
      <w:rFonts w:ascii="Trebuchet MS" w:hAnsi="Trebuchet MS" w:eastAsia="Trebuchet MS" w:cs="Trebuchet MS"/>
      <w:b w:val="0"/>
      <w:bCs w:val="0"/>
      <w:i w:val="0"/>
      <w:iCs w:val="0"/>
      <w:smallCaps w:val="0"/>
      <w:strike w:val="0"/>
      <w:spacing w:val="10"/>
      <w:sz w:val="19"/>
      <w:szCs w:val="19"/>
      <w:u w:val="none"/>
    </w:rPr>
  </w:style>
  <w:style w:type="character" w:styleId="987" w:customStyle="1">
    <w:name w:val="Основной текст (6) + Arial;5 pt;Полужирный;Интервал 0 pt"/>
    <w:basedOn w:val="986"/>
    <w:rPr>
      <w:rFonts w:ascii="Arial" w:hAnsi="Arial" w:eastAsia="Arial" w:cs="Arial"/>
      <w:b/>
      <w:bCs/>
      <w:i w:val="0"/>
      <w:iCs w:val="0"/>
      <w:smallCaps w:val="0"/>
      <w:strike w:val="0"/>
      <w:color w:val="000000"/>
      <w:spacing w:val="0"/>
      <w:position w:val="0"/>
      <w:sz w:val="10"/>
      <w:szCs w:val="10"/>
      <w:u w:val="none"/>
    </w:rPr>
  </w:style>
  <w:style w:type="character" w:styleId="988" w:customStyle="1">
    <w:name w:val="Подпись к картинке (2)_"/>
    <w:basedOn w:val="782"/>
    <w:link w:val="1007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styleId="989" w:customStyle="1">
    <w:name w:val="Основной текст (7)_"/>
    <w:basedOn w:val="782"/>
    <w:link w:val="1008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styleId="990" w:customStyle="1">
    <w:name w:val="Основной текст (8)_"/>
    <w:basedOn w:val="782"/>
    <w:link w:val="1009"/>
    <w:rPr>
      <w:rFonts w:ascii="Times New Roman" w:hAnsi="Times New Roman" w:eastAsia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styleId="991" w:customStyle="1">
    <w:name w:val="Основной текст (9)_"/>
    <w:basedOn w:val="782"/>
    <w:link w:val="10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styleId="992" w:customStyle="1">
    <w:name w:val="Основной текст (9)"/>
    <w:basedOn w:val="99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17"/>
      <w:szCs w:val="17"/>
      <w:u w:val="single"/>
      <w:lang w:val="en-US"/>
    </w:rPr>
  </w:style>
  <w:style w:type="character" w:styleId="993" w:customStyle="1">
    <w:name w:val="Основной текст (10)"/>
    <w:basedOn w:val="78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994" w:customStyle="1">
    <w:name w:val="Заголовок №1_"/>
    <w:basedOn w:val="782"/>
    <w:link w:val="1012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styleId="995" w:customStyle="1">
    <w:name w:val="Основной текст (10)_"/>
    <w:basedOn w:val="782"/>
    <w:link w:val="1011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styleId="996" w:customStyle="1">
    <w:name w:val="Подпись к картинке (3)_"/>
    <w:basedOn w:val="782"/>
    <w:link w:val="1013"/>
    <w:rPr>
      <w:rFonts w:ascii="Arial" w:hAnsi="Arial" w:eastAsia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styleId="997" w:customStyle="1">
    <w:name w:val="Подпись к картинке_"/>
    <w:basedOn w:val="782"/>
    <w:link w:val="1014"/>
    <w:rPr>
      <w:rFonts w:ascii="Arial" w:hAnsi="Arial" w:eastAsia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styleId="998" w:customStyle="1">
    <w:name w:val="Основной текст + Lucida Sans Unicode;16 pt;Курсив"/>
    <w:basedOn w:val="970"/>
    <w:rPr>
      <w:rFonts w:ascii="Lucida Sans Unicode" w:hAnsi="Lucida Sans Unicode" w:eastAsia="Lucida Sans Unicode" w:cs="Lucida Sans Unicode"/>
      <w:b w:val="0"/>
      <w:bCs w:val="0"/>
      <w:i/>
      <w:iCs/>
      <w:smallCaps w:val="0"/>
      <w:strike w:val="0"/>
      <w:color w:val="000000"/>
      <w:spacing w:val="0"/>
      <w:position w:val="0"/>
      <w:sz w:val="32"/>
      <w:szCs w:val="32"/>
      <w:u w:val="none"/>
    </w:rPr>
  </w:style>
  <w:style w:type="character" w:styleId="999" w:customStyle="1">
    <w:name w:val="Основной текст + Lucida Sans Unicode;4 pt"/>
    <w:basedOn w:val="970"/>
    <w:rPr>
      <w:rFonts w:ascii="Lucida Sans Unicode" w:hAnsi="Lucida Sans Unicode" w:eastAsia="Lucida Sans Unicode" w:cs="Lucida Sans Unicode"/>
      <w:b w:val="0"/>
      <w:bCs w:val="0"/>
      <w:i w:val="0"/>
      <w:iCs w:val="0"/>
      <w:smallCaps w:val="0"/>
      <w:strike w:val="0"/>
      <w:color w:val="000000"/>
      <w:spacing w:val="0"/>
      <w:position w:val="0"/>
      <w:sz w:val="8"/>
      <w:szCs w:val="8"/>
      <w:u w:val="none"/>
      <w:lang w:val="ru-RU"/>
    </w:rPr>
  </w:style>
  <w:style w:type="paragraph" w:styleId="1000" w:customStyle="1">
    <w:name w:val="Основной текст (2)"/>
    <w:basedOn w:val="772"/>
    <w:link w:val="966"/>
    <w:pPr>
      <w:shd w:val="clear" w:color="auto" w:fill="ffffff"/>
      <w:spacing w:line="0" w:lineRule="atLeast"/>
      <w:jc w:val="center"/>
    </w:pPr>
    <w:rPr>
      <w:rFonts w:ascii="Times New Roman" w:hAnsi="Times New Roman" w:eastAsia="Times New Roman" w:cs="Times New Roman"/>
      <w:sz w:val="27"/>
      <w:szCs w:val="27"/>
    </w:rPr>
  </w:style>
  <w:style w:type="paragraph" w:styleId="1001" w:customStyle="1">
    <w:name w:val="Основной текст (3)"/>
    <w:basedOn w:val="772"/>
    <w:link w:val="967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4"/>
      <w:szCs w:val="14"/>
    </w:rPr>
  </w:style>
  <w:style w:type="paragraph" w:styleId="1002" w:customStyle="1">
    <w:name w:val="Основной текст3"/>
    <w:basedOn w:val="772"/>
    <w:link w:val="970"/>
    <w:pPr>
      <w:shd w:val="clear" w:color="auto" w:fill="ffffff"/>
      <w:spacing w:line="274" w:lineRule="exact"/>
      <w:jc w:val="both"/>
    </w:pPr>
    <w:rPr>
      <w:rFonts w:ascii="Times New Roman" w:hAnsi="Times New Roman" w:eastAsia="Times New Roman" w:cs="Times New Roman"/>
      <w:sz w:val="23"/>
      <w:szCs w:val="23"/>
    </w:rPr>
  </w:style>
  <w:style w:type="paragraph" w:styleId="1003" w:customStyle="1">
    <w:name w:val="Колонтитул"/>
    <w:basedOn w:val="772"/>
    <w:link w:val="972"/>
    <w:pPr>
      <w:shd w:val="clear" w:color="auto" w:fill="ffffff"/>
      <w:spacing w:line="0" w:lineRule="atLeast"/>
    </w:pPr>
    <w:rPr>
      <w:rFonts w:ascii="Trebuchet MS" w:hAnsi="Trebuchet MS" w:eastAsia="Trebuchet MS" w:cs="Trebuchet MS"/>
      <w:sz w:val="22"/>
      <w:szCs w:val="22"/>
    </w:rPr>
  </w:style>
  <w:style w:type="paragraph" w:styleId="1004" w:customStyle="1">
    <w:name w:val="Основной текст (4)"/>
    <w:basedOn w:val="772"/>
    <w:link w:val="978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31"/>
      <w:szCs w:val="31"/>
    </w:rPr>
  </w:style>
  <w:style w:type="paragraph" w:styleId="1005" w:customStyle="1">
    <w:name w:val="Основной текст (5)"/>
    <w:basedOn w:val="772"/>
    <w:link w:val="984"/>
    <w:pPr>
      <w:shd w:val="clear" w:color="auto" w:fill="ffffff"/>
      <w:spacing w:line="0" w:lineRule="atLeast"/>
    </w:pPr>
    <w:rPr>
      <w:rFonts w:ascii="Arial" w:hAnsi="Arial" w:eastAsia="Arial" w:cs="Arial"/>
      <w:sz w:val="20"/>
      <w:szCs w:val="20"/>
    </w:rPr>
  </w:style>
  <w:style w:type="paragraph" w:styleId="1006" w:customStyle="1">
    <w:name w:val="Основной текст (6)"/>
    <w:basedOn w:val="772"/>
    <w:link w:val="986"/>
    <w:pPr>
      <w:shd w:val="clear" w:color="auto" w:fill="ffffff"/>
      <w:spacing w:line="0" w:lineRule="atLeast"/>
    </w:pPr>
    <w:rPr>
      <w:rFonts w:ascii="Trebuchet MS" w:hAnsi="Trebuchet MS" w:eastAsia="Trebuchet MS" w:cs="Trebuchet MS"/>
      <w:spacing w:val="10"/>
      <w:sz w:val="19"/>
      <w:szCs w:val="19"/>
    </w:rPr>
  </w:style>
  <w:style w:type="paragraph" w:styleId="1007" w:customStyle="1">
    <w:name w:val="Подпись к картинке (2)"/>
    <w:basedOn w:val="772"/>
    <w:link w:val="988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1008" w:customStyle="1">
    <w:name w:val="Основной текст (7)"/>
    <w:basedOn w:val="772"/>
    <w:link w:val="989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b/>
      <w:bCs/>
      <w:sz w:val="23"/>
      <w:szCs w:val="23"/>
    </w:rPr>
  </w:style>
  <w:style w:type="paragraph" w:styleId="1009" w:customStyle="1">
    <w:name w:val="Основной текст (8)"/>
    <w:basedOn w:val="772"/>
    <w:link w:val="990"/>
    <w:pPr>
      <w:shd w:val="clear" w:color="auto" w:fill="ffffff"/>
      <w:spacing w:line="299" w:lineRule="exact"/>
      <w:jc w:val="center"/>
    </w:pPr>
    <w:rPr>
      <w:rFonts w:ascii="Times New Roman" w:hAnsi="Times New Roman" w:eastAsia="Times New Roman" w:cs="Times New Roman"/>
      <w:b/>
      <w:bCs/>
      <w:sz w:val="25"/>
      <w:szCs w:val="25"/>
    </w:rPr>
  </w:style>
  <w:style w:type="paragraph" w:styleId="1010" w:customStyle="1">
    <w:name w:val="Основной текст (9)"/>
    <w:basedOn w:val="772"/>
    <w:link w:val="991"/>
    <w:pPr>
      <w:shd w:val="clear" w:color="auto" w:fill="ffffff"/>
      <w:spacing w:line="202" w:lineRule="exact"/>
      <w:jc w:val="center"/>
    </w:pPr>
    <w:rPr>
      <w:rFonts w:ascii="Times New Roman" w:hAnsi="Times New Roman" w:eastAsia="Times New Roman" w:cs="Times New Roman"/>
      <w:sz w:val="17"/>
      <w:szCs w:val="17"/>
    </w:rPr>
  </w:style>
  <w:style w:type="paragraph" w:styleId="1011" w:customStyle="1">
    <w:name w:val="Основной текст (10)"/>
    <w:basedOn w:val="772"/>
    <w:link w:val="995"/>
    <w:pPr>
      <w:shd w:val="clear" w:color="auto" w:fill="ffffff"/>
      <w:spacing w:line="0" w:lineRule="atLeast"/>
    </w:pPr>
    <w:rPr>
      <w:rFonts w:ascii="Times New Roman" w:hAnsi="Times New Roman" w:eastAsia="Times New Roman" w:cs="Times New Roman"/>
      <w:sz w:val="19"/>
      <w:szCs w:val="19"/>
    </w:rPr>
  </w:style>
  <w:style w:type="paragraph" w:styleId="1012" w:customStyle="1">
    <w:name w:val="Заголовок №1"/>
    <w:basedOn w:val="772"/>
    <w:link w:val="994"/>
    <w:pPr>
      <w:shd w:val="clear" w:color="auto" w:fill="ffffff"/>
      <w:spacing w:line="0" w:lineRule="atLeast"/>
      <w:outlineLvl w:val="0"/>
    </w:pPr>
    <w:rPr>
      <w:rFonts w:ascii="Times New Roman" w:hAnsi="Times New Roman" w:eastAsia="Times New Roman" w:cs="Times New Roman"/>
      <w:sz w:val="27"/>
      <w:szCs w:val="27"/>
    </w:rPr>
  </w:style>
  <w:style w:type="paragraph" w:styleId="1013" w:customStyle="1">
    <w:name w:val="Подпись к картинке (3)"/>
    <w:basedOn w:val="772"/>
    <w:link w:val="996"/>
    <w:pPr>
      <w:shd w:val="clear" w:color="auto" w:fill="ffffff"/>
      <w:spacing w:line="191" w:lineRule="exact"/>
      <w:jc w:val="both"/>
    </w:pPr>
    <w:rPr>
      <w:rFonts w:ascii="Arial" w:hAnsi="Arial" w:eastAsia="Arial" w:cs="Arial"/>
      <w:sz w:val="15"/>
      <w:szCs w:val="15"/>
    </w:rPr>
  </w:style>
  <w:style w:type="paragraph" w:styleId="1014" w:customStyle="1">
    <w:name w:val="Подпись к картинке"/>
    <w:basedOn w:val="772"/>
    <w:link w:val="997"/>
    <w:pPr>
      <w:shd w:val="clear" w:color="auto" w:fill="ffffff"/>
      <w:spacing w:line="148" w:lineRule="exact"/>
    </w:pPr>
    <w:rPr>
      <w:rFonts w:ascii="Arial" w:hAnsi="Arial" w:eastAsia="Arial" w:cs="Arial"/>
      <w:sz w:val="10"/>
      <w:szCs w:val="10"/>
    </w:rPr>
  </w:style>
  <w:style w:type="paragraph" w:styleId="1015">
    <w:name w:val="Balloon Text"/>
    <w:basedOn w:val="772"/>
    <w:link w:val="1016"/>
    <w:uiPriority w:val="99"/>
    <w:semiHidden/>
    <w:unhideWhenUsed/>
    <w:rPr>
      <w:rFonts w:ascii="Tahoma" w:hAnsi="Tahoma" w:cs="Tahoma"/>
      <w:sz w:val="16"/>
      <w:szCs w:val="16"/>
    </w:rPr>
  </w:style>
  <w:style w:type="character" w:styleId="1016" w:customStyle="1">
    <w:name w:val="Текст выноски Знак"/>
    <w:basedOn w:val="782"/>
    <w:link w:val="1015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1017" w:customStyle="1">
    <w:name w:val="formattext"/>
    <w:basedOn w:val="772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</w:rPr>
  </w:style>
  <w:style w:type="character" w:styleId="1018" w:customStyle="1">
    <w:name w:val="Основной текст + 13"/>
    <w:basedOn w:val="97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color w:val="000000"/>
      <w:spacing w:val="0"/>
      <w:position w:val="0"/>
      <w:sz w:val="27"/>
      <w:szCs w:val="27"/>
      <w:u w:val="none"/>
      <w:shd w:val="clear" w:color="auto" w:fill="ffffff"/>
      <w:lang w:val="ru-RU"/>
    </w:rPr>
  </w:style>
  <w:style w:type="paragraph" w:styleId="1019">
    <w:name w:val="Footer"/>
    <w:basedOn w:val="772"/>
    <w:link w:val="1020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0" w:customStyle="1">
    <w:name w:val="Нижний колонтитул Знак"/>
    <w:basedOn w:val="782"/>
    <w:link w:val="1019"/>
    <w:uiPriority w:val="99"/>
    <w:rPr>
      <w:color w:val="000000"/>
    </w:rPr>
  </w:style>
  <w:style w:type="paragraph" w:styleId="1021">
    <w:name w:val="Header"/>
    <w:basedOn w:val="772"/>
    <w:link w:val="1022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1022" w:customStyle="1">
    <w:name w:val="Верхний колонтитул Знак"/>
    <w:basedOn w:val="782"/>
    <w:link w:val="1021"/>
    <w:uiPriority w:val="99"/>
    <w:rPr>
      <w:color w:val="000000"/>
    </w:rPr>
  </w:style>
  <w:style w:type="paragraph" w:styleId="1023" w:customStyle="1">
    <w:name w:val="ConsPlusNonformat"/>
    <w:rPr>
      <w:rFonts w:eastAsia="Times New Roman"/>
      <w:sz w:val="20"/>
      <w:szCs w:val="20"/>
    </w:rPr>
  </w:style>
  <w:style w:type="paragraph" w:styleId="1024" w:customStyle="1">
    <w:name w:val="Таблицы (моноширинный)"/>
    <w:basedOn w:val="772"/>
    <w:next w:val="772"/>
    <w:uiPriority w:val="99"/>
    <w:rPr>
      <w:rFonts w:eastAsia="Times New Roman"/>
      <w:color w:val="auto"/>
    </w:rPr>
  </w:style>
  <w:style w:type="paragraph" w:styleId="1025" w:customStyle="1">
    <w:name w:val="Table Paragraph"/>
    <w:basedOn w:val="772"/>
    <w:uiPriority w:val="1"/>
    <w:qFormat/>
    <w:pPr>
      <w:ind w:left="107"/>
    </w:pPr>
    <w:rPr>
      <w:rFonts w:ascii="Times New Roman" w:hAnsi="Times New Roman" w:eastAsia="Times New Roman" w:cs="Times New Roman"/>
      <w:color w:val="auto"/>
      <w:sz w:val="22"/>
      <w:szCs w:val="22"/>
      <w:lang w:eastAsia="en-US"/>
    </w:rPr>
  </w:style>
  <w:style w:type="paragraph" w:styleId="1026">
    <w:name w:val="List Paragraph"/>
    <w:basedOn w:val="772"/>
    <w:uiPriority w:val="34"/>
    <w:qFormat/>
    <w:pPr>
      <w:ind w:left="720"/>
      <w:contextualSpacing/>
    </w:pPr>
  </w:style>
  <w:style w:type="paragraph" w:styleId="1027">
    <w:name w:val="No Spacing"/>
    <w:uiPriority w:val="1"/>
    <w:qFormat/>
    <w:rPr>
      <w:color w:val="000000"/>
    </w:rPr>
  </w:style>
  <w:style w:type="character" w:styleId="1028" w:customStyle="1">
    <w:name w:val="fontstyle01"/>
    <w:basedOn w:val="782"/>
    <w:rPr>
      <w:rFonts w:hint="default" w:ascii="TimesNewRomanPSMT" w:hAnsi="TimesNewRomanPSM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Relationship Id="rId13" Type="http://schemas.openxmlformats.org/officeDocument/2006/relationships/hyperlink" Target="https://disk.yandex.ru/edit/d/ieEN859tHnNpr4WHCGUK0SPegnqahzm72s0qoIz-cKg6VFUzR3doNnUwUQ." TargetMode="External"/><Relationship Id="rId14" Type="http://schemas.openxmlformats.org/officeDocument/2006/relationships/hyperlink" Target="consultantplus://offline/ref=287002BAE95AC3FB1028CA163FAE54172C5A109C0745153373B0DD494BD0E364195262CD81BFBB2CF0A36D667031DB3529947AF79B4A29F356979BFF46b6j7H" TargetMode="External"/><Relationship Id="rId15" Type="http://schemas.openxmlformats.org/officeDocument/2006/relationships/hyperlink" Target="https://minobr.75.ru/," TargetMode="External"/><Relationship Id="rId16" Type="http://schemas.openxmlformats.org/officeDocument/2006/relationships/hyperlink" Target="https://minobr.75.ru/,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B2C321-A1A1-4308-B96E-1CCDB947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User_888</dc:creator>
  <cp:revision>40</cp:revision>
  <dcterms:created xsi:type="dcterms:W3CDTF">2024-10-10T05:53:00Z</dcterms:created>
  <dcterms:modified xsi:type="dcterms:W3CDTF">2025-04-10T03:45:36Z</dcterms:modified>
</cp:coreProperties>
</file>