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РАСПОРЯЖЕНИЕ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Плана мероприятий по повышению уровня трудоустройства участников специальной военной операции и организации их профессиональной ориентации в Забайкальском крае </w:t>
      </w:r>
      <w:r>
        <w:rPr>
          <w:b/>
          <w:bCs/>
          <w:color w:val="000000"/>
          <w:sz w:val="28"/>
          <w:szCs w:val="28"/>
        </w:rPr>
        <w:br/>
        <w:t xml:space="preserve">на 2025-2028 годы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целях реализации распоряжения Правительства Российской Федерации от 24 мая 2025 года № 1311-р, постановления Губернатора Забайкальского края от 7 сентября 2023 года № 64 «О трудоустройстве в приоритетном порядке отдельных категорий гражд</w:t>
      </w:r>
      <w:r>
        <w:rPr>
          <w:b w:val="0"/>
          <w:bCs w:val="0"/>
          <w:color w:val="000000" w:themeColor="text1"/>
          <w:sz w:val="28"/>
          <w:szCs w:val="28"/>
        </w:rPr>
        <w:t xml:space="preserve">ан»</w:t>
      </w:r>
      <w:r>
        <w:rPr>
          <w:b w:val="0"/>
          <w:bCs w:val="0"/>
          <w:spacing w:val="40"/>
          <w:sz w:val="28"/>
          <w:szCs w:val="28"/>
        </w:rPr>
        <w:t xml:space="preserve">: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план мероприятий по </w:t>
      </w:r>
      <w:r>
        <w:rPr>
          <w:sz w:val="28"/>
          <w:szCs w:val="28"/>
        </w:rPr>
        <w:t xml:space="preserve">повышению уровня трудоустройства участников специальной военной операции и организации их профессиональной ориентации в Забайкальском крае на 2025-2028 годы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(далее – План)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Исполнительным органам Забайкальского края, являющимся ответс</w:t>
      </w:r>
      <w:r>
        <w:rPr>
          <w:sz w:val="28"/>
          <w:szCs w:val="28"/>
        </w:rPr>
        <w:t xml:space="preserve">тв</w:t>
      </w:r>
      <w:r>
        <w:rPr>
          <w:sz w:val="28"/>
          <w:szCs w:val="28"/>
        </w:rPr>
        <w:t xml:space="preserve">енными исполнителями мероприятий Плана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обеспечить выполнение мероприятий Плана в установленные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представлять в Министерство труда и социальной защиты населения Забайкальского края информацию об исполнении мероприятий Плана в соответствии со сроками, установленными Планом.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федеральной службы исполнения наказания по Забайкальскому краю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Отделени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Социального Фонда России по Забайкальскому краю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Государственного фонда поддержки участников специальной военной операции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«Защитники Отечества» по Забайкальскому краю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«Главное бюро медико-социальной экспертизы по Забайкальскому краю» Министерства труда и социальной защиты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осударственному казенному учреждению</w:t>
      </w:r>
      <w:r>
        <w:rPr>
          <w:sz w:val="28"/>
          <w:szCs w:val="28"/>
        </w:rPr>
        <w:t xml:space="preserve"> «Государственное юридическое бюро» 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«Краевой центр занятости населения» 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«Краевой центр </w:t>
      </w:r>
      <w:r>
        <w:rPr>
          <w:sz w:val="28"/>
          <w:szCs w:val="28"/>
        </w:rPr>
        <w:t xml:space="preserve">социальной защиты</w:t>
      </w:r>
      <w:r>
        <w:rPr>
          <w:sz w:val="28"/>
          <w:szCs w:val="28"/>
        </w:rPr>
        <w:t xml:space="preserve"> населения» 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Союз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работодателей Забайкальского края, </w:t>
      </w:r>
      <w:r>
        <w:rPr>
          <w:sz w:val="28"/>
          <w:szCs w:val="28"/>
        </w:rPr>
        <w:t xml:space="preserve">Забайкальско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общероссийской общественной </w:t>
      </w:r>
      <w:r>
        <w:rPr>
          <w:color w:val="000000" w:themeColor="text1"/>
          <w:sz w:val="28"/>
          <w:szCs w:val="28"/>
        </w:rPr>
        <w:t xml:space="preserve">организации малого и среднего предпринимательства «ОПОРА РОССИИ»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Союз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«Торгово-промышленная палата Забайкальского края»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Забайкальской Краевой Общественной Организации «Ассоциация Ветеранов СВО» (по согласованию), </w:t>
      </w:r>
      <w:r>
        <w:rPr>
          <w:color w:val="000000" w:themeColor="text1"/>
          <w:sz w:val="28"/>
          <w:szCs w:val="28"/>
        </w:rPr>
        <w:t xml:space="preserve">филиал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Общероссийской общественно-государственной просветительской организации «Российское общество «Знание» в Забайкальском крае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Забайкальск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региональн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«Всероссийское общество инвалидов»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Региональн</w:t>
      </w:r>
      <w:r>
        <w:rPr>
          <w:color w:val="000000" w:themeColor="text1"/>
          <w:sz w:val="28"/>
          <w:szCs w:val="28"/>
        </w:rPr>
        <w:t xml:space="preserve">ому</w:t>
      </w:r>
      <w:r>
        <w:rPr>
          <w:color w:val="000000" w:themeColor="text1"/>
          <w:sz w:val="28"/>
          <w:szCs w:val="28"/>
        </w:rPr>
        <w:t xml:space="preserve"> центр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развития движения «</w:t>
      </w:r>
      <w:r>
        <w:rPr>
          <w:color w:val="000000" w:themeColor="text1"/>
          <w:sz w:val="28"/>
          <w:szCs w:val="28"/>
        </w:rPr>
        <w:t xml:space="preserve">Абилимпикс</w:t>
      </w:r>
      <w:r>
        <w:rPr>
          <w:color w:val="000000" w:themeColor="text1"/>
          <w:sz w:val="28"/>
          <w:szCs w:val="28"/>
        </w:rPr>
        <w:t xml:space="preserve">» Забайкальского края</w:t>
      </w:r>
      <w:r>
        <w:rPr>
          <w:color w:val="000000" w:themeColor="text1"/>
          <w:sz w:val="28"/>
          <w:szCs w:val="28"/>
        </w:rPr>
        <w:t xml:space="preserve"> в рамках своих полномочий принять участие в реализации мероприятий Плана.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. Рекомендовать органам местного самоуправления Забайкальского края в рамках своих полномочий принять участие в реализации Плана.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Министерству труда и социальной защиты населения Забайкальского края осуществлять мониторинг и контроль исполнения мероприятий Плана.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Контроль за исполнением настоящего распоряжения возложить на заместителя председателя Правительства Забайкальского края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В.В.Бессонову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701" w:right="567" w:bottom="680" w:left="1985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</w:t>
      </w:r>
      <w:r>
        <w:rPr>
          <w:sz w:val="28"/>
          <w:szCs w:val="28"/>
        </w:rPr>
        <w:t xml:space="preserve">ля Правительства</w:t>
      </w:r>
      <w:r>
        <w:rPr>
          <w:sz w:val="28"/>
          <w:szCs w:val="28"/>
        </w:rPr>
        <w:br/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8"/>
        <w:tblW w:w="15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73"/>
        <w:gridCol w:w="4962"/>
      </w:tblGrid>
      <w:tr>
        <w:tblPrEx/>
        <w:trPr/>
        <w:tc>
          <w:tcPr>
            <w:tcW w:w="10773" w:type="dxa"/>
            <w:textDirection w:val="lrTb"/>
            <w:noWrap w:val="false"/>
          </w:tcPr>
          <w:p>
            <w:pPr>
              <w:ind w:firstLine="708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УТВЕРЖДЕН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ра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с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поряже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нием Правительства Забайкальского края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  <w:r>
              <w:rPr>
                <w:color w:val="000000"/>
                <w:spacing w:val="-2"/>
                <w:sz w:val="28"/>
                <w:szCs w:val="28"/>
                <w:lang w:eastAsia="zh-CN"/>
              </w:rPr>
            </w:r>
          </w:p>
        </w:tc>
      </w:tr>
    </w:tbl>
    <w:p>
      <w:pPr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pacing w:val="-2"/>
          <w:sz w:val="28"/>
          <w:szCs w:val="28"/>
          <w:lang w:eastAsia="zh-CN"/>
        </w:rPr>
      </w:r>
      <w:r>
        <w:rPr>
          <w:color w:val="000000"/>
          <w:spacing w:val="-2"/>
          <w:sz w:val="28"/>
          <w:szCs w:val="28"/>
          <w:lang w:eastAsia="zh-CN"/>
        </w:rPr>
      </w:r>
      <w:r>
        <w:rPr>
          <w:color w:val="000000"/>
          <w:spacing w:val="-2"/>
          <w:sz w:val="28"/>
          <w:szCs w:val="28"/>
          <w:lang w:eastAsia="zh-CN"/>
        </w:rPr>
      </w:r>
    </w:p>
    <w:p>
      <w:pPr>
        <w:jc w:val="center"/>
        <w:rPr>
          <w:bCs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П</w:t>
      </w:r>
      <w:r>
        <w:rPr>
          <w:b/>
          <w:color w:val="000000"/>
          <w:spacing w:val="-2"/>
          <w:sz w:val="28"/>
          <w:szCs w:val="28"/>
          <w:lang w:eastAsia="zh-CN"/>
        </w:rPr>
        <w:t xml:space="preserve">ЛАН</w:t>
      </w:r>
      <w:r>
        <w:rPr>
          <w:bCs/>
          <w:color w:val="000000"/>
          <w:spacing w:val="-2"/>
          <w:sz w:val="28"/>
          <w:szCs w:val="28"/>
          <w:lang w:eastAsia="zh-CN"/>
        </w:rPr>
      </w:r>
      <w:r>
        <w:rPr>
          <w:bCs/>
          <w:color w:val="000000"/>
          <w:spacing w:val="-2"/>
          <w:sz w:val="28"/>
          <w:szCs w:val="28"/>
          <w:lang w:eastAsia="zh-CN"/>
        </w:rPr>
      </w:r>
    </w:p>
    <w:p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мероприятий по повышению уровня трудоустройства участников специальной военной операции и организации их профессиональной ориентации в Забайкальском крае на 2025-2028 годы</w:t>
      </w:r>
      <w:r>
        <w:rPr>
          <w:b/>
          <w:color w:val="000000"/>
          <w:spacing w:val="-2"/>
          <w:sz w:val="28"/>
          <w:szCs w:val="28"/>
          <w:lang w:eastAsia="zh-CN"/>
        </w:rPr>
      </w:r>
      <w:r>
        <w:rPr>
          <w:b/>
          <w:color w:val="000000"/>
          <w:spacing w:val="-2"/>
          <w:sz w:val="28"/>
          <w:szCs w:val="28"/>
          <w:lang w:eastAsia="zh-CN"/>
        </w:rPr>
      </w:r>
    </w:p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8"/>
        <w:tblW w:w="15730" w:type="dxa"/>
        <w:tblLook w:val="04A0" w:firstRow="1" w:lastRow="0" w:firstColumn="1" w:lastColumn="0" w:noHBand="0" w:noVBand="1"/>
      </w:tblPr>
      <w:tblGrid>
        <w:gridCol w:w="540"/>
        <w:gridCol w:w="5528"/>
        <w:gridCol w:w="3767"/>
        <w:gridCol w:w="1801"/>
        <w:gridCol w:w="4094"/>
      </w:tblGrid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Ожидаемый результат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исполнения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проактивной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с участниками специальной военной опе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которые после возвращения из зоны военных действий не обращались в органы службы занятости для предложения им мер поддержки в сфере занятости, включая: лиц, поступивших в созданные по решению органов государственной власти Российской Федерации добровольч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ие формиро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ания, содействующие выполнению задач, возложенных на Вооруженные Силы Росси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кой Федерации, в ходе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специальной военной операции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принимавших в соответствии с решениями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органов государственной власти Донецкой Народной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Республики, Луганско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Народной Республики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боевых действиях в составе Вооруженных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Сил Донецкой Народной Республики, Народной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милиции Луганской Народной Республики,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воинских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формирований и органов Донецкой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Народной Республики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Луганской Народной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Республики начиная с 11 мая 2014 г.;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заключивших контракт (имевших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правоотношения) с организациями, содействующими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выполнению задач, возложенных на Вооруженные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Силы Российской Федерации, в ходе специальной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военной операции;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направлявшихся для обеспечения выполнения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оде специальной военной операции,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отработавших установленный при направлении срок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либо откомандированных досрочно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уважительным причинам;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добровольцев, не входящих в состав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добровольческих формирований, созданных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решению органов государственной власти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выполнявших задачи в ходе специальной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военной операции в составе подразделений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укомплектованных осужденными гражданами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оздан механизм взаимодействия между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органами государственной власти Забайкальского края, государственными органами Забайкальского края, подведомственными исполнительными органами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абайкальского края, органами местного самоуправления Забайкальского края, филиалом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Отделением Социального Фонда России 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общественными организациями региона, позволяющий выявить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боевых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нуждающихся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 в полгода, до 15-го числа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полугодием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 (по согласованию), органы местного самоуправления,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Федеральное казенное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«Главное бюро медико-социальной экспертизы по Забайкальскому краю» Министерства труда и социальной защиты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Государственное казенное учреждение «Краевой центр занятости населения» Забайкальского края (далее – КЦЗН),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учреждение «Краевой центр социальной защиты населения» Забайкальского края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КЦСЗН),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Социального Фонда России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труда и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содействия участникам специальной военной операции, включая в том числе участников специальной военной операции, указанных в пункте 1 настоящего плана мероприятий, в оформлении (восстановлении) документов, необходимых для трудоустройства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оперативное оформление документов, необходимых для трудоустройства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 до 20-го числа месяца, следующего 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Фонда России по Забайкальскому краю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и науки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Проработка вопроса межведомственного обмена информацией об участниках специальной военной операции в целях организации предоставления мер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проработан механизм эффективного межведомственного взаимодействия для организации предоставления мер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приоритетном порядке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Фонда России по Забайкальскому краю (по согласованию),</w:t>
            </w:r>
            <w:r>
              <w:t xml:space="preserve">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специалистов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подразделений КЦЗН в образовательных мероприятиях, направленных на получение специализированных навыков при работе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участниками специальной военной операции в рамках федерального проекта «Управление рынком труда» национального проекта «Кадры»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проводимых ФГБУ «ВНИИ труда» Министерства труда и социальной защиты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обучение сотрудников органов службы занятости особенностям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работы с участниками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специальной военной операции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 в полгода, до 20-го числа месяца, следующего за отчетным полугодием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Взаимодействие с работодателями, в том числе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имеющими квоты для приема на работу инвалидов,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целях рассмотрения возможност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трудоустройства участников специальной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военной операции, создания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Забайкальском крае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базы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работодателей и рабочих мест для трудоустройства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создана региональная база работодателей и рабочих мест для трудоустройства участников специальной военной операции, в том числе имеющих инвалидность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 в полгода, до 20-го числа месяца, следующего за отчетным полугодием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КЦЗН,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работодателей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общероссийской общественной организации малого и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предпринимательства «ОПОРА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Торгово-промышленная палата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резерва рабочих мест для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 операции в исполнительных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самоуправления, в 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муниципальных учреждениях, 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муниципальных унитарных предприятиях,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юридических лицах, в уставном капитале которых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50 процентов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 резерв рабочих мест для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трудоустройства на государственную гражданскую и муниципальную службу, в государственные учреждения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ежеквартально, до 7-го числа месяца, следующего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Государственная ветеринарная служба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Департамент государственного имущества и земельных отношений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сельского хозяйства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экономического развития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Департамент по развитию муниципальных образований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развития гражданского общества и внутренней политики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Департамент по гражданской обороне и пожарной безопасности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ЖКХ, энергетики, цифровизации и связи Забайкальского края,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строительства, дорожного хозяйства и транспорта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культуры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образования и науки Забайкальского края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Министерство физической культуры и спорта Забайкальского края,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Союз работодателей Забайкальского края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программ наставничества для ускоренной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адаптации участников специальной военной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 на рабочих местах, привлечение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наставников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расширены возможности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социальной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трудовой адаптации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работодателей Забайкальского края (по согласованию), Забайкальская Краевая Общественная Организация «Ассоциация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 СВО» (по согласованию), «Забайкальское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илиал Общероссийской общественно-государственной просветительской организации «Российское общество «Знание» в Забайкальском крае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Проработка вопросов стимулирования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работодателей, трудоустраивающих участников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 операции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одготовлены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стимулированию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работодателей,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трудоустраивающих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 до 20-го числа месяца, следующего 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Забайкальского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работодателей Забайкальского края (по согласованию),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1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ярмарок вакансий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круглых столов, собеседований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формате,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иных форм встреч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работодателями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ярмарки вакансий,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мотивационные встречи,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открытые собеседования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специальной военной операции с работодателями региона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числа месяца,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КЦЗН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Забайкальского края, Союз работодателей Забай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кальского края (по согласованию), «Забайкальское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согласованию), 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общественных площадок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сообществ)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взаимодействия участников 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 с привлечением общественных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ветеранов боевых действий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учреждениях социальной защиты населения, центрах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занятости населения для обмена опытом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поддержки, направленных на социальную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адаптацию, оказание юридической помощи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разъяснению трудового законодательства, прав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оформлению документов, подтверждающих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квалификацию и опы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Забайкальском крае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общественные площадки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числа месяца,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КЦЗН,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КЦСЗН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развития гражданского общества и внутренней политики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участников 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операции в чемпионаты 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мастерства, в том числе чемпионаты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профессиональному мастерству среди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лиц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Абилимпикс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расширены возможности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самоопределения,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социальной реабилитации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формирования активной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жизненной позиции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 2026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центр развития движения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Абилимпикс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региональная организация «Всероссийское общество инвалидов»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бесплатной юридической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 специальной военной операции и членам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семей по вопросам трудового законодательства,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установленным федеральным и региональным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законодательством в сфере бесплатной юридической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 по трудовому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2026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ГКУ «Государственное юридическое бюро»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профессиональных, прикладных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мотивационно-ценностных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профориентационных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составления индивидуального 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участниками специальной военной операции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учетом выявленных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разработаны (актуализированы)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траектории построения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индивидуального плана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с участниками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выявленных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числа месяца,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Краевая Общественная Организация «Ассоциация Ветеранов СВО»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и дополнительное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образование участников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Активные меры содействия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дополнительное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 в целях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обеспечения их занятости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уровне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процентов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2026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 Министерство труда и социальной защиты населения Забайкальского края, Министерство образования и науки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развития гражданского общества и внутренней политики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Содействие трудоустройству участников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специальной военной операции в рамках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мероприятий по стимулированию найма отдельных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категорий граждан в рамках федерального проекта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Активные меры содействия занятости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национального проекта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Кадры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расширены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обеспечены условия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трудоустройства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2026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ежегодно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 Министерство труда и социальной защиты населения Забайкальского края, Отделение Социального Фонда России по Забайкальскому краю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предпринимательской деятельности, осуществления деятельности в форме самозанятости, в том числе в сельской местности, участниками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расширены возможности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занятости участников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организации самозанятости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декабря 2025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Забайкальского края, Министерство труда и социальной защиты населения Забайкальского края, Министерство сельского хозяйства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Информирование граждан, освобожденных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учреждений, исполняющих наказания в виде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лишения свободы, выполнявших задачи в ходе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специальной военной операции, о возможности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применения к ним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постпенитенциарной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пробации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Федерального закона от 6 февраля 2023 года № 10-ФЗ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пробации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расширены возможности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ресоциализации,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социальной адаптации,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реабилитации и занятости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имеющих судимость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 декабря 2025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раз в полгода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федеральной службы исполнения наказания по Забайкальскому краю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трудоустройству участников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 операции в рамках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по оборудованию рабочих мест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трудоустройства инвалидов в рамках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Активные меры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содействия занятости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рудоустройство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имеющих инвалидность,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оборудованные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рабочие места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 января 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 Министерство труда и социальной защиты населения Забайкальского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Фонда России по Забайкальскому краю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региональная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«Всероссийское общество инвалидов»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по специальному порядку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установления квот для приема на работу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 операции, имеющих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 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занятости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военной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операции, имеющих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инвалидность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2025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ода, следующего за отчетным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работодателей Забай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кальского края (по согласованию), «Забайкальское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региональная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«Всероссийское общество инвалидов»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Проработка вопроса информационной поддержки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мероприятий, направленных на укрепление имиджа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работодателей, трудоустраивающих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вследствие военной травмы и инвалидов из числа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информационная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поддержка, укреплен имидж работодателей, трудоустраивающих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инвалидов вследствие военной травмы и инвалидов из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20-го числа месяца,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 полугодием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края, Министерство экономического развития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развития гражданского общества и внутренней политики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региональная организация «Всероссийско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 инвалидов»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 работодателей Забай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кальского края (по согласованию), «Забайкальское региональное отделение общероссийской общественной организации малого и среднего предпринимательства «ОПОРА РОССИИ» (по согласованию), Союз «Торгово-промышленная палата Забайкальского края»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мониторинга трудоустройства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мониторинг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края, 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Забайкальскому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согласованию), Отделение Социального Фонда России по Забайкальскому краю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гражданского общества и внутренней политики Забайкальского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распространение лучших практик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трудоустройства 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анализ информации о лучших практиках трудоустройства, размещен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лучших практик трудоустройства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ресурсах в целя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успешного опыта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2025 г.,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далее - 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КЦЗН, Министерство труда и социальной защиты населения Забайкальского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развития гражданского общества и внутренней политики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 Государственного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участников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Забайкальскому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деятельности межведомственных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комиссий по координации оказания социальной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и помощи участникам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 и членам их семей в рамках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содействия их трудоустройству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анализ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межведомственных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комиссий по координации Федерации оказания социальной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и 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членам их семей в части содействия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участников специальной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полгода,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20-го числа месяца,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следующего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отчетным полугодием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tabs>
          <w:tab w:val="left" w:pos="0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center"/>
        <w:tabs>
          <w:tab w:val="left" w:pos="0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center"/>
        <w:tabs>
          <w:tab w:val="left" w:pos="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418" w:right="1702" w:bottom="567" w:left="679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49"/>
      </w:rPr>
      <w:framePr w:wrap="auto" w:vAnchor="text" w:hAnchor="margin" w:xAlign="center" w:y="1"/>
    </w:pPr>
    <w:r>
      <w:rPr>
        <w:rStyle w:val="949"/>
      </w:rPr>
    </w:r>
    <w:r>
      <w:rPr>
        <w:rStyle w:val="949"/>
      </w:rPr>
    </w:r>
    <w:r>
      <w:rPr>
        <w:rStyle w:val="949"/>
      </w:rPr>
    </w:r>
  </w:p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21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13"/>
  </w:num>
  <w:num w:numId="10">
    <w:abstractNumId w:val="5"/>
  </w:num>
  <w:num w:numId="11">
    <w:abstractNumId w:val="1"/>
  </w:num>
  <w:num w:numId="12">
    <w:abstractNumId w:val="4"/>
  </w:num>
  <w:num w:numId="13">
    <w:abstractNumId w:val="20"/>
  </w:num>
  <w:num w:numId="14">
    <w:abstractNumId w:val="16"/>
  </w:num>
  <w:num w:numId="15">
    <w:abstractNumId w:val="9"/>
  </w:num>
  <w:num w:numId="16">
    <w:abstractNumId w:val="12"/>
  </w:num>
  <w:num w:numId="17">
    <w:abstractNumId w:val="22"/>
  </w:num>
  <w:num w:numId="18">
    <w:abstractNumId w:val="15"/>
  </w:num>
  <w:num w:numId="19">
    <w:abstractNumId w:val="19"/>
  </w:num>
  <w:num w:numId="20">
    <w:abstractNumId w:val="10"/>
  </w:num>
  <w:num w:numId="21">
    <w:abstractNumId w:val="2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Plain Table 1"/>
    <w:basedOn w:val="7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7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5 Dark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7 Colorful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6 Colorful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8">
    <w:name w:val="List Table 7 Colorful"/>
    <w:basedOn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9" w:default="1">
    <w:name w:val="Normal"/>
    <w:qFormat/>
  </w:style>
  <w:style w:type="paragraph" w:styleId="750">
    <w:name w:val="Heading 1"/>
    <w:basedOn w:val="749"/>
    <w:next w:val="749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937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54">
    <w:name w:val="Heading 5"/>
    <w:basedOn w:val="749"/>
    <w:next w:val="749"/>
    <w:link w:val="938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55">
    <w:name w:val="Heading 6"/>
    <w:basedOn w:val="749"/>
    <w:next w:val="749"/>
    <w:link w:val="939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56">
    <w:name w:val="Heading 7"/>
    <w:basedOn w:val="749"/>
    <w:next w:val="749"/>
    <w:link w:val="940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paragraph" w:styleId="757">
    <w:name w:val="Heading 8"/>
    <w:basedOn w:val="749"/>
    <w:next w:val="749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59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8 Char"/>
    <w:basedOn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59"/>
    <w:uiPriority w:val="10"/>
    <w:rPr>
      <w:sz w:val="48"/>
      <w:szCs w:val="48"/>
    </w:rPr>
  </w:style>
  <w:style w:type="character" w:styleId="768" w:customStyle="1">
    <w:name w:val="Subtitle Char"/>
    <w:basedOn w:val="759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Заголовок 1 Знак"/>
    <w:basedOn w:val="759"/>
    <w:link w:val="750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59"/>
    <w:link w:val="751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</w:style>
  <w:style w:type="paragraph" w:styleId="783">
    <w:name w:val="Title"/>
    <w:basedOn w:val="749"/>
    <w:next w:val="749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Заголовок Знак"/>
    <w:basedOn w:val="759"/>
    <w:link w:val="783"/>
    <w:uiPriority w:val="10"/>
    <w:rPr>
      <w:sz w:val="48"/>
      <w:szCs w:val="48"/>
    </w:rPr>
  </w:style>
  <w:style w:type="paragraph" w:styleId="785">
    <w:name w:val="Subtitle"/>
    <w:basedOn w:val="749"/>
    <w:next w:val="749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 w:customStyle="1">
    <w:name w:val="Подзаголовок Знак"/>
    <w:basedOn w:val="759"/>
    <w:link w:val="785"/>
    <w:uiPriority w:val="11"/>
    <w:rPr>
      <w:sz w:val="24"/>
      <w:szCs w:val="24"/>
    </w:rPr>
  </w:style>
  <w:style w:type="paragraph" w:styleId="787">
    <w:name w:val="Quote"/>
    <w:basedOn w:val="749"/>
    <w:next w:val="749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49"/>
    <w:next w:val="749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59"/>
    <w:uiPriority w:val="99"/>
  </w:style>
  <w:style w:type="character" w:styleId="792" w:customStyle="1">
    <w:name w:val="Footer Char"/>
    <w:basedOn w:val="759"/>
    <w:uiPriority w:val="99"/>
  </w:style>
  <w:style w:type="paragraph" w:styleId="793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 w:customStyle="1">
    <w:name w:val="Caption Char"/>
    <w:uiPriority w:val="99"/>
  </w:style>
  <w:style w:type="table" w:styleId="795" w:customStyle="1">
    <w:name w:val="Table Grid Light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 w:customStyle="1">
    <w:name w:val="Таблица простая 11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21"/>
    <w:basedOn w:val="76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31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 w:customStyle="1">
    <w:name w:val="Таблица простая 41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 простая 51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а-сетка 1 светлая1"/>
    <w:basedOn w:val="76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-сетка 21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41"/>
    <w:basedOn w:val="76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6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6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6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6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6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6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 w:customStyle="1">
    <w:name w:val="Таблица-сетка 5 темная1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 w:customStyle="1">
    <w:name w:val="Таблица-сетка 6 цветная1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6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6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6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6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Таблица-сетка 7 цветная1"/>
    <w:basedOn w:val="76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1"/>
    <w:basedOn w:val="76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5"/>
    <w:basedOn w:val="76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6"/>
    <w:basedOn w:val="76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Список-таблица 1 светлая1"/>
    <w:basedOn w:val="76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6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6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6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6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6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6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21"/>
    <w:basedOn w:val="76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 w:customStyle="1">
    <w:name w:val="Список-таблица 31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Список-таблица 41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5 темная1"/>
    <w:basedOn w:val="76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6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Список-таблица 6 цветная1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 w:customStyle="1">
    <w:name w:val="Список-таблица 7 цветная1"/>
    <w:basedOn w:val="76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1"/>
    <w:basedOn w:val="76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2"/>
    <w:basedOn w:val="76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3"/>
    <w:basedOn w:val="76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4"/>
    <w:basedOn w:val="76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5"/>
    <w:basedOn w:val="76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6"/>
    <w:basedOn w:val="76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ned - Accent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6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6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6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6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6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6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6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6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0">
    <w:name w:val="footnote text"/>
    <w:basedOn w:val="749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59"/>
    <w:uiPriority w:val="99"/>
    <w:unhideWhenUsed/>
    <w:rPr>
      <w:vertAlign w:val="superscript"/>
    </w:rPr>
  </w:style>
  <w:style w:type="paragraph" w:styleId="923">
    <w:name w:val="endnote text"/>
    <w:basedOn w:val="749"/>
    <w:link w:val="924"/>
    <w:uiPriority w:val="99"/>
    <w:semiHidden/>
    <w:unhideWhenUsed/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59"/>
    <w:uiPriority w:val="99"/>
    <w:semiHidden/>
    <w:unhideWhenUsed/>
    <w:rPr>
      <w:vertAlign w:val="superscript"/>
    </w:rPr>
  </w:style>
  <w:style w:type="paragraph" w:styleId="926">
    <w:name w:val="toc 1"/>
    <w:basedOn w:val="749"/>
    <w:next w:val="749"/>
    <w:uiPriority w:val="39"/>
    <w:unhideWhenUsed/>
    <w:pPr>
      <w:spacing w:after="57"/>
    </w:pPr>
  </w:style>
  <w:style w:type="paragraph" w:styleId="92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49"/>
    <w:next w:val="749"/>
    <w:uiPriority w:val="99"/>
    <w:unhideWhenUsed/>
  </w:style>
  <w:style w:type="character" w:styleId="937" w:customStyle="1">
    <w:name w:val="Заголовок 4 Знак"/>
    <w:basedOn w:val="759"/>
    <w:link w:val="753"/>
    <w:uiPriority w:val="99"/>
    <w:semiHidden/>
    <w:rPr>
      <w:rFonts w:ascii="Calibri" w:hAnsi="Calibri" w:cs="Times New Roman"/>
      <w:b/>
      <w:sz w:val="28"/>
    </w:rPr>
  </w:style>
  <w:style w:type="character" w:styleId="938" w:customStyle="1">
    <w:name w:val="Заголовок 5 Знак"/>
    <w:basedOn w:val="759"/>
    <w:link w:val="754"/>
    <w:uiPriority w:val="99"/>
    <w:semiHidden/>
    <w:rPr>
      <w:rFonts w:ascii="Calibri" w:hAnsi="Calibri" w:cs="Times New Roman"/>
      <w:b/>
      <w:i/>
      <w:sz w:val="26"/>
    </w:rPr>
  </w:style>
  <w:style w:type="character" w:styleId="939" w:customStyle="1">
    <w:name w:val="Заголовок 6 Знак"/>
    <w:basedOn w:val="759"/>
    <w:link w:val="755"/>
    <w:uiPriority w:val="99"/>
    <w:semiHidden/>
    <w:rPr>
      <w:rFonts w:ascii="Calibri" w:hAnsi="Calibri" w:cs="Times New Roman"/>
      <w:b/>
      <w:sz w:val="22"/>
    </w:rPr>
  </w:style>
  <w:style w:type="character" w:styleId="940" w:customStyle="1">
    <w:name w:val="Заголовок 7 Знак"/>
    <w:basedOn w:val="759"/>
    <w:link w:val="756"/>
    <w:uiPriority w:val="99"/>
    <w:semiHidden/>
    <w:rPr>
      <w:rFonts w:ascii="Calibri" w:hAnsi="Calibri" w:cs="Times New Roman"/>
      <w:sz w:val="24"/>
    </w:rPr>
  </w:style>
  <w:style w:type="paragraph" w:styleId="941">
    <w:name w:val="Body Text Indent 3"/>
    <w:basedOn w:val="749"/>
    <w:link w:val="942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942" w:customStyle="1">
    <w:name w:val="Основной текст с отступом 3 Знак"/>
    <w:basedOn w:val="759"/>
    <w:link w:val="941"/>
    <w:uiPriority w:val="99"/>
    <w:rPr>
      <w:rFonts w:cs="Times New Roman"/>
      <w:sz w:val="16"/>
    </w:rPr>
  </w:style>
  <w:style w:type="paragraph" w:styleId="943">
    <w:name w:val="Body Text Indent 2"/>
    <w:basedOn w:val="749"/>
    <w:link w:val="944"/>
    <w:uiPriority w:val="99"/>
    <w:pPr>
      <w:ind w:left="426" w:hanging="426"/>
      <w:jc w:val="both"/>
    </w:pPr>
  </w:style>
  <w:style w:type="character" w:styleId="944" w:customStyle="1">
    <w:name w:val="Основной текст с отступом 2 Знак"/>
    <w:basedOn w:val="759"/>
    <w:link w:val="943"/>
    <w:uiPriority w:val="99"/>
    <w:semiHidden/>
    <w:rPr>
      <w:rFonts w:cs="Times New Roman"/>
    </w:rPr>
  </w:style>
  <w:style w:type="paragraph" w:styleId="945">
    <w:name w:val="Body Text 2"/>
    <w:basedOn w:val="749"/>
    <w:link w:val="946"/>
    <w:uiPriority w:val="99"/>
    <w:pPr>
      <w:jc w:val="both"/>
    </w:pPr>
  </w:style>
  <w:style w:type="character" w:styleId="946" w:customStyle="1">
    <w:name w:val="Основной текст 2 Знак"/>
    <w:basedOn w:val="759"/>
    <w:link w:val="945"/>
    <w:uiPriority w:val="99"/>
    <w:semiHidden/>
    <w:rPr>
      <w:rFonts w:cs="Times New Roman"/>
    </w:rPr>
  </w:style>
  <w:style w:type="paragraph" w:styleId="947">
    <w:name w:val="Header"/>
    <w:basedOn w:val="749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basedOn w:val="759"/>
    <w:link w:val="947"/>
    <w:uiPriority w:val="99"/>
    <w:rPr>
      <w:rFonts w:cs="Times New Roman"/>
    </w:rPr>
  </w:style>
  <w:style w:type="character" w:styleId="949">
    <w:name w:val="page number"/>
    <w:basedOn w:val="759"/>
    <w:uiPriority w:val="99"/>
    <w:rPr>
      <w:rFonts w:cs="Times New Roman"/>
    </w:rPr>
  </w:style>
  <w:style w:type="paragraph" w:styleId="950">
    <w:name w:val="Body Text"/>
    <w:basedOn w:val="749"/>
    <w:link w:val="951"/>
    <w:uiPriority w:val="99"/>
    <w:pPr>
      <w:spacing w:after="120"/>
    </w:pPr>
  </w:style>
  <w:style w:type="character" w:styleId="951" w:customStyle="1">
    <w:name w:val="Основной текст Знак"/>
    <w:basedOn w:val="759"/>
    <w:link w:val="950"/>
    <w:uiPriority w:val="99"/>
    <w:semiHidden/>
    <w:rPr>
      <w:rFonts w:cs="Times New Roman"/>
    </w:rPr>
  </w:style>
  <w:style w:type="paragraph" w:styleId="952">
    <w:name w:val="Body Text 3"/>
    <w:basedOn w:val="749"/>
    <w:link w:val="953"/>
    <w:uiPriority w:val="99"/>
    <w:pPr>
      <w:spacing w:after="120"/>
    </w:pPr>
    <w:rPr>
      <w:sz w:val="16"/>
      <w:szCs w:val="16"/>
    </w:rPr>
  </w:style>
  <w:style w:type="character" w:styleId="953" w:customStyle="1">
    <w:name w:val="Основной текст 3 Знак"/>
    <w:basedOn w:val="759"/>
    <w:link w:val="952"/>
    <w:uiPriority w:val="99"/>
    <w:semiHidden/>
    <w:rPr>
      <w:rFonts w:cs="Times New Roman"/>
      <w:sz w:val="16"/>
    </w:rPr>
  </w:style>
  <w:style w:type="paragraph" w:styleId="954">
    <w:name w:val="Footer"/>
    <w:basedOn w:val="749"/>
    <w:link w:val="955"/>
    <w:uiPriority w:val="99"/>
    <w:pPr>
      <w:tabs>
        <w:tab w:val="center" w:pos="4153" w:leader="none"/>
        <w:tab w:val="right" w:pos="8306" w:leader="none"/>
      </w:tabs>
    </w:pPr>
  </w:style>
  <w:style w:type="character" w:styleId="955" w:customStyle="1">
    <w:name w:val="Нижний колонтитул Знак"/>
    <w:basedOn w:val="759"/>
    <w:link w:val="954"/>
    <w:uiPriority w:val="99"/>
    <w:semiHidden/>
    <w:rPr>
      <w:rFonts w:cs="Times New Roman"/>
    </w:rPr>
  </w:style>
  <w:style w:type="paragraph" w:styleId="956" w:customStyle="1">
    <w:name w:val="Знак Знак Знак"/>
    <w:basedOn w:val="74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7">
    <w:name w:val="Balloon Text"/>
    <w:basedOn w:val="749"/>
    <w:link w:val="958"/>
    <w:uiPriority w:val="99"/>
    <w:semiHidden/>
    <w:rPr>
      <w:rFonts w:ascii="Tahoma" w:hAnsi="Tahoma"/>
      <w:sz w:val="16"/>
      <w:szCs w:val="16"/>
    </w:rPr>
  </w:style>
  <w:style w:type="character" w:styleId="958" w:customStyle="1">
    <w:name w:val="Текст выноски Знак"/>
    <w:basedOn w:val="759"/>
    <w:link w:val="957"/>
    <w:uiPriority w:val="99"/>
    <w:semiHidden/>
    <w:rPr>
      <w:rFonts w:ascii="Tahoma" w:hAnsi="Tahoma" w:cs="Times New Roman"/>
      <w:sz w:val="16"/>
    </w:rPr>
  </w:style>
  <w:style w:type="paragraph" w:styleId="959" w:customStyle="1">
    <w:name w:val="Знак Знак Знак1"/>
    <w:basedOn w:val="74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0" w:customStyle="1">
    <w:name w:val="Знак Знак Знак2"/>
    <w:basedOn w:val="74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 w:customStyle="1">
    <w:name w:val="Знак Знак Знак3"/>
    <w:basedOn w:val="74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62">
    <w:name w:val="line number"/>
    <w:basedOn w:val="759"/>
    <w:uiPriority w:val="99"/>
    <w:semiHidden/>
    <w:unhideWhenUsed/>
    <w:rPr>
      <w:rFonts w:cs="Times New Roman"/>
    </w:rPr>
  </w:style>
  <w:style w:type="paragraph" w:styleId="96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64">
    <w:name w:val="List Paragraph"/>
    <w:basedOn w:val="74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65">
    <w:name w:val="Hyperlink"/>
    <w:basedOn w:val="759"/>
    <w:uiPriority w:val="99"/>
    <w:unhideWhenUsed/>
    <w:rPr>
      <w:rFonts w:cs="Times New Roman"/>
      <w:color w:val="0000ff"/>
      <w:u w:val="single"/>
    </w:rPr>
  </w:style>
  <w:style w:type="paragraph" w:styleId="966" w:customStyle="1">
    <w:name w:val="pboth"/>
    <w:basedOn w:val="749"/>
    <w:pPr>
      <w:spacing w:before="100" w:beforeAutospacing="1" w:after="100" w:afterAutospacing="1"/>
    </w:pPr>
    <w:rPr>
      <w:sz w:val="24"/>
      <w:szCs w:val="24"/>
    </w:rPr>
  </w:style>
  <w:style w:type="paragraph" w:styleId="967" w:customStyle="1">
    <w:name w:val="s_3"/>
    <w:basedOn w:val="749"/>
    <w:pPr>
      <w:spacing w:before="100" w:beforeAutospacing="1" w:after="100" w:afterAutospacing="1"/>
    </w:pPr>
    <w:rPr>
      <w:sz w:val="24"/>
      <w:szCs w:val="24"/>
    </w:rPr>
  </w:style>
  <w:style w:type="table" w:styleId="968">
    <w:name w:val="Table Grid"/>
    <w:basedOn w:val="760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 w:customStyle="1">
    <w:name w:val="formattext"/>
    <w:basedOn w:val="7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BED6-9AB6-4309-AA57-ED5AE202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11</cp:revision>
  <dcterms:created xsi:type="dcterms:W3CDTF">2025-06-16T03:34:00Z</dcterms:created>
  <dcterms:modified xsi:type="dcterms:W3CDTF">2025-07-03T06:51:25Z</dcterms:modified>
</cp:coreProperties>
</file>