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Порядка осуществления специальных мероприятий при предоставлении инвалидам мер государственной поддержки в сфере занятости населения 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частью 2 статьи 37 Федерального закона </w:t>
      </w:r>
      <w:r>
        <w:rPr>
          <w:sz w:val="28"/>
          <w:szCs w:val="28"/>
        </w:rPr>
        <w:br/>
        <w:t xml:space="preserve">от 12 декабря 2023 года  № 565-ФЗ «О занятости населения в Российской Федерации», приказом Министерства труда и социальной защиты Российской Федерации от 12 ноября 2024 года № 614 «Об утверждении метод</w:t>
      </w:r>
      <w:r>
        <w:rPr>
          <w:sz w:val="28"/>
          <w:szCs w:val="28"/>
        </w:rPr>
        <w:t xml:space="preserve">ических рекомендаций по осуществлению специальных мероприятий при предоставлении инвалидам мер государственной поддержки», частью 3 статьи 6 Закона Забайкальского края от 29 мая 2009 года № 181-ЗЗК «О социальной защите инвалидов в Забайкальском крае» Прави</w:t>
      </w:r>
      <w:r>
        <w:rPr>
          <w:sz w:val="28"/>
          <w:szCs w:val="28"/>
        </w:rPr>
        <w:t xml:space="preserve">тельство Забайкальского края </w:t>
      </w:r>
      <w:r>
        <w:rPr>
          <w:b/>
          <w:bCs/>
          <w:color w:val="000000"/>
          <w:spacing w:val="40"/>
          <w:sz w:val="28"/>
          <w:szCs w:val="28"/>
        </w:rPr>
        <w:t xml:space="preserve">постановляет</w:t>
      </w:r>
      <w:r>
        <w:rPr>
          <w:b/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898"/>
        <w:ind w:left="0" w:firstLine="709"/>
        <w:tabs>
          <w:tab w:val="left" w:pos="720" w:leader="none"/>
          <w:tab w:val="clear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8"/>
        <w:numPr>
          <w:ilvl w:val="0"/>
          <w:numId w:val="8"/>
        </w:numPr>
        <w:ind w:left="0" w:firstLine="709"/>
        <w:tabs>
          <w:tab w:val="left" w:pos="720" w:leader="none"/>
          <w:tab w:val="clear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осуществления специальных мероприятий при предоставлении инвалидам мер государственной поддержки в сфере занятости населения.</w:t>
      </w:r>
      <w:r>
        <w:rPr>
          <w:sz w:val="28"/>
          <w:szCs w:val="28"/>
        </w:rPr>
      </w:r>
    </w:p>
    <w:p>
      <w:pPr>
        <w:pStyle w:val="898"/>
        <w:numPr>
          <w:ilvl w:val="0"/>
          <w:numId w:val="8"/>
        </w:numPr>
        <w:ind w:left="0" w:firstLine="709"/>
        <w:tabs>
          <w:tab w:val="left" w:pos="720" w:leader="none"/>
          <w:tab w:val="clear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силу:</w:t>
      </w:r>
      <w:r>
        <w:rPr>
          <w:sz w:val="28"/>
          <w:szCs w:val="28"/>
        </w:rPr>
      </w:r>
    </w:p>
    <w:p>
      <w:pPr>
        <w:pStyle w:val="898"/>
        <w:numPr>
          <w:ilvl w:val="0"/>
          <w:numId w:val="14"/>
        </w:numPr>
        <w:ind w:left="0" w:firstLine="709"/>
        <w:tabs>
          <w:tab w:val="left" w:pos="720" w:leader="none"/>
          <w:tab w:val="clear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Забайкальского края </w:t>
      </w:r>
      <w:r>
        <w:rPr>
          <w:sz w:val="28"/>
          <w:szCs w:val="28"/>
        </w:rPr>
        <w:br/>
        <w:t xml:space="preserve">от 24 сентября 2015 года № 472 «Об утверждении Порядка проведения специальных мероприятий для предоставления инвалидам гарантий трудовой занятости»;</w:t>
      </w:r>
      <w:r>
        <w:rPr>
          <w:sz w:val="28"/>
          <w:szCs w:val="28"/>
        </w:rPr>
      </w:r>
    </w:p>
    <w:p>
      <w:pPr>
        <w:pStyle w:val="898"/>
        <w:numPr>
          <w:ilvl w:val="0"/>
          <w:numId w:val="14"/>
        </w:numPr>
        <w:ind w:left="0" w:firstLine="709"/>
        <w:tabs>
          <w:tab w:val="left" w:pos="720" w:leader="none"/>
          <w:tab w:val="clear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пункт 59 изменений, которые вносятся в некоторые постановл</w:t>
      </w:r>
      <w:r>
        <w:rPr>
          <w:sz w:val="28"/>
          <w:szCs w:val="28"/>
        </w:rPr>
        <w:t xml:space="preserve">ения Правительства Забайкальского края, утвержденные постановлением Правительства Забайкальского  края от 31 марта 2017 года № 102 ;</w:t>
      </w:r>
      <w:r>
        <w:rPr>
          <w:sz w:val="28"/>
          <w:szCs w:val="28"/>
        </w:rPr>
      </w:r>
    </w:p>
    <w:p>
      <w:pPr>
        <w:pStyle w:val="898"/>
        <w:numPr>
          <w:ilvl w:val="0"/>
          <w:numId w:val="14"/>
        </w:numPr>
        <w:ind w:left="0" w:firstLine="709"/>
        <w:tabs>
          <w:tab w:val="left" w:pos="720" w:leader="none"/>
          <w:tab w:val="clear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Забайкальского края </w:t>
      </w:r>
      <w:r>
        <w:rPr>
          <w:sz w:val="28"/>
          <w:szCs w:val="28"/>
        </w:rPr>
        <w:br/>
        <w:t xml:space="preserve">от 28 марта 2024 года № 154 «О внесении изменений в постановление Правител</w:t>
      </w:r>
      <w:r>
        <w:rPr>
          <w:sz w:val="28"/>
          <w:szCs w:val="28"/>
        </w:rPr>
        <w:t xml:space="preserve">ьства Забайкальского края от 24 сентября 2015 года № 472 </w:t>
      </w:r>
      <w:r>
        <w:rPr>
          <w:sz w:val="28"/>
          <w:szCs w:val="28"/>
        </w:rPr>
        <w:br/>
        <w:t xml:space="preserve">«Об утверждении Порядка проведения специальных мероприятий для предоставления инвалидам гарантий трудовой занятости».</w:t>
      </w:r>
      <w:r>
        <w:rPr>
          <w:sz w:val="28"/>
          <w:szCs w:val="28"/>
        </w:rPr>
      </w:r>
    </w:p>
    <w:p>
      <w:pPr>
        <w:pStyle w:val="898"/>
        <w:ind w:left="0"/>
        <w:tabs>
          <w:tab w:val="left" w:pos="720" w:leader="none"/>
          <w:tab w:val="clear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rPr>
          <w:sz w:val="28"/>
          <w:szCs w:val="28"/>
        </w:rPr>
        <w:t xml:space="preserve">первого заместителя председателя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rPr>
          <w:sz w:val="28"/>
          <w:szCs w:val="28"/>
        </w:rPr>
        <w:t xml:space="preserve">Правительства Забайкальского края                                                     А.И.Кефер</w:t>
      </w:r>
      <w:r>
        <w:rPr>
          <w:sz w:val="28"/>
          <w:szCs w:val="28"/>
        </w:rPr>
      </w:r>
    </w:p>
    <w:p>
      <w:pPr>
        <w:ind w:left="4760" w:right="-26"/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760" w:right="-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</w:p>
    <w:p>
      <w:pPr>
        <w:ind w:left="4760" w:right="-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</w:p>
    <w:p>
      <w:pPr>
        <w:ind w:left="4760" w:right="-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/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1"/>
        <w:ind w:left="0"/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осуществления специальных мероприятий при предоставлении инвалидам мер государственной поддержки в сфере занятости населения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1"/>
        <w:ind w:left="0"/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1"/>
        <w:ind w:left="0"/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Общие положения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целях осуществления специальных мероприятий при предоставлении инвалидам мер </w:t>
      </w:r>
      <w:r>
        <w:rPr>
          <w:sz w:val="28"/>
          <w:szCs w:val="28"/>
        </w:rPr>
        <w:t xml:space="preserve">государственной поддержки в сфере занятости населения в Забайкальском крае.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 соответствии со статьей 37  Федерального закона от 12 декабря 2023 года № 565-ФЗ «О занятости населения в Российской Федерации» (далее – Федеральный закон № 565-ФЗ) инвалидам</w:t>
      </w:r>
      <w:r>
        <w:rPr>
          <w:sz w:val="28"/>
          <w:szCs w:val="28"/>
        </w:rPr>
        <w:t xml:space="preserve"> предоставляются меры государственной поддержки в сфере занятости населения, в том числе путем осуществления следующих специальных мероприятий: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установление квоты для приема на работу инвалидов в соответствии с Законом Забайкальского края от 29 мая 2009</w:t>
      </w:r>
      <w:r>
        <w:rPr>
          <w:sz w:val="28"/>
          <w:szCs w:val="28"/>
        </w:rPr>
        <w:t xml:space="preserve"> года № 181-ЗЗК «О социальной защите инвалидов в Забайкальском крае» (далее – Закон Забайкальского края № 181-ЗЗК) и приказом Министерства труда и социальной защиты населения Забайкальского края от 27 декабря 2024 года № 1876 «Об установлении размера квоты</w:t>
      </w:r>
      <w:r>
        <w:rPr>
          <w:sz w:val="28"/>
          <w:szCs w:val="28"/>
        </w:rPr>
        <w:t xml:space="preserve"> для приема на работу инвалидов в Забайкальском крае»;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стимулирование создания работодателями дополнительных рабочих мест (в том числе специальных) для трудоустройства инвалидов;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создание инвалидам условий труда в соответствии с индивидуальными прог</w:t>
      </w:r>
      <w:r>
        <w:rPr>
          <w:sz w:val="28"/>
          <w:szCs w:val="28"/>
        </w:rPr>
        <w:t xml:space="preserve">раммами реабилитации или абилитации инвалидов (далее – ИПРА);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сопровождение при содействии занятости инвалидов;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создание условий для осуществления инвалидами предпринимательской деятельности;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организация прохождения профессионального обучения, пол</w:t>
      </w:r>
      <w:r>
        <w:rPr>
          <w:sz w:val="28"/>
          <w:szCs w:val="28"/>
        </w:rPr>
        <w:t xml:space="preserve">учения дополнительного профессионального образования инвалидами в соответствии с перечнем наиболее востребованных профессий (навыков, компетенций) на рынке труда Забайкальского края для организации профессионального обучения и дополнительного профессиональ</w:t>
      </w:r>
      <w:r>
        <w:rPr>
          <w:sz w:val="28"/>
          <w:szCs w:val="28"/>
        </w:rPr>
        <w:t xml:space="preserve">ного образования граждан в рамках реализации государственной программы Забайкальского края «Содействие занятости населения», ежегодно утверждаемым приказом Министерства труда и социальной защиты населения Забайкальского края (далее – Министерство).</w:t>
      </w:r>
      <w:r>
        <w:rPr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 Гос</w:t>
      </w:r>
      <w:r>
        <w:rPr>
          <w:bCs/>
          <w:sz w:val="28"/>
          <w:szCs w:val="28"/>
        </w:rPr>
        <w:t xml:space="preserve">ударственное казенное учреждение «Краевой центр занятости населения» Забайкальского края (далее – центр занятости населения) оказывает индивидуальную помощь инвалидам </w:t>
      </w:r>
      <w:r>
        <w:rPr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  <w:lang w:val="en-US"/>
        </w:rPr>
        <w:t xml:space="preserve">II</w:t>
      </w:r>
      <w:r>
        <w:rPr>
          <w:bCs/>
          <w:sz w:val="28"/>
          <w:szCs w:val="28"/>
        </w:rPr>
        <w:t xml:space="preserve"> групп, в том числе по </w:t>
      </w:r>
      <w:r>
        <w:rPr>
          <w:bCs/>
          <w:sz w:val="28"/>
          <w:szCs w:val="28"/>
        </w:rPr>
        <w:t xml:space="preserve">месту жительства или месту пребывания, в подаче заявления и </w:t>
      </w:r>
      <w:r>
        <w:rPr>
          <w:bCs/>
          <w:sz w:val="28"/>
          <w:szCs w:val="28"/>
        </w:rPr>
        <w:t xml:space="preserve">иных сведений в целях получения мер государственной поддержки в сфере занятости населения, а также по иным вопросам в сфере занятости населения.</w:t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части содействия в трудоустройстве инвалидам центром занятости населения осуществляются следующие специаль</w:t>
      </w:r>
      <w:r>
        <w:rPr>
          <w:sz w:val="28"/>
          <w:szCs w:val="28"/>
        </w:rPr>
        <w:t xml:space="preserve">ные мероприятия: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анализ потребности инвалидов в трудоустройстве;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учет квотируемых и специальных рабочих мест для трудоустройства инвалидов, подбор работников из числа инвалидов для трудоустройства на такие рабочие места;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содействие работодателям в</w:t>
      </w:r>
      <w:r>
        <w:rPr>
          <w:sz w:val="28"/>
          <w:szCs w:val="28"/>
        </w:rPr>
        <w:t xml:space="preserve"> установлении и выполнении квоты для приема на работу инвалидов, в том числе содействие в подборе работников из числа инвалидов, информирование и консультирование работодателей по вопросам организации рабочих мест для трудоустройства инвалидов;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сбор и п</w:t>
      </w:r>
      <w:r>
        <w:rPr>
          <w:sz w:val="28"/>
          <w:szCs w:val="28"/>
        </w:rPr>
        <w:t xml:space="preserve">редоставление работодателям информации об организациях,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</w:t>
      </w:r>
      <w:r>
        <w:rPr>
          <w:sz w:val="28"/>
          <w:szCs w:val="28"/>
        </w:rPr>
        <w:t xml:space="preserve">динения инвалидов, и индивидуальных предпринимателях, согласных на трудоустройство инвалидов в соответствии с соглашением о трудоустройстве инвалидов, предусмотренным пунктом 2 части 6 статьи 38 Федерального закона № 565-ФЗ (далее – соглашение о трудоустро</w:t>
      </w:r>
      <w:r>
        <w:rPr>
          <w:sz w:val="28"/>
          <w:szCs w:val="28"/>
        </w:rPr>
        <w:t xml:space="preserve">йстве инвалидов);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информационное взаимодействие с общественными объединениями инвалидов, в том числе представление им сведений о наличии свободных рабочих мест и вакантных должностей, специальных рабочих мест для трудоустройства инвалидов;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мониторинг</w:t>
      </w:r>
      <w:r>
        <w:rPr>
          <w:sz w:val="28"/>
          <w:szCs w:val="28"/>
        </w:rPr>
        <w:t xml:space="preserve"> трудоустройства инвалидов и продолжительности их работы, в том числе на специальных рабочих местах для трудоустройства инвалидов;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взаимодействие с образовательными организациями, подбор подходящих образовательных программ инвалидам в соответствии с ИПР</w:t>
      </w:r>
      <w:r>
        <w:rPr>
          <w:sz w:val="28"/>
          <w:szCs w:val="28"/>
        </w:rPr>
        <w:t xml:space="preserve">А и оказание содействия в трудоустройстве после окончания процесса обучения;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предоставление консультационной и единовременной финансовой помощи инвалидам при организации предпринимательской деятельности;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иные мероприятия, предусмотренные Федеральным </w:t>
      </w:r>
      <w:r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br/>
        <w:t xml:space="preserve">№ 565-ФЗ.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6"/>
        </w:numPr>
        <w:jc w:val="center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Установление для работодателей квоты для приема на работу инвалидов и количества специальных рабочих мест для трудоустройства инвалидов</w:t>
      </w:r>
      <w:r>
        <w:rPr>
          <w:b/>
          <w:sz w:val="28"/>
          <w:szCs w:val="28"/>
        </w:rPr>
      </w:r>
    </w:p>
    <w:p>
      <w:pPr>
        <w:ind w:left="106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Требования по установлению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квоты для приема на работу инвалидов в Забайкальском крае установлены статьей 38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№ 565-ФЗ, Законом Забайкальского края № 181-ЗЗК.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Квота для приема на работу инвалидов  в соответствии с приказом Министерства от 27 декабря 2024 года № 1876 «Об установлении размера квоты для приема на работу инвалидов в Забайкальском крае» устанавливается работодателям, осуществляющим деятельность на </w:t>
      </w:r>
      <w:r>
        <w:rPr>
          <w:sz w:val="28"/>
          <w:szCs w:val="28"/>
        </w:rPr>
        <w:t xml:space="preserve">те</w:t>
      </w:r>
      <w:r>
        <w:rPr>
          <w:sz w:val="28"/>
          <w:szCs w:val="28"/>
        </w:rPr>
        <w:t xml:space="preserve">рритории Забайкальского края, а также филиалам и представительствам работодателя, осуществляющего деятельность на территории других субъектов Российской Федерации, расположенным на территории Забайкальского края у которых численность работников: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 35 д</w:t>
      </w:r>
      <w:r>
        <w:rPr>
          <w:sz w:val="28"/>
          <w:szCs w:val="28"/>
        </w:rPr>
        <w:t xml:space="preserve">о 100 человек включительно – в размере 3 процента от среднесписочной численности работников;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превышает 100 человек – в размере 4 процента от среднесписочной численности работников.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Центр занятости населения получает ежемесячную информацию от работода</w:t>
      </w:r>
      <w:r>
        <w:rPr>
          <w:sz w:val="28"/>
          <w:szCs w:val="28"/>
        </w:rPr>
        <w:t xml:space="preserve">телей о выполнении квоты для приема на работу инвалидов (далее – отчет) посредством Единой цифровой платформы в сфере занятости и трудовых отношений «Работа в России» (далее – Единая цифровая платформа).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Отчет представляется работодателями по форме согл</w:t>
      </w:r>
      <w:r>
        <w:rPr>
          <w:sz w:val="28"/>
          <w:szCs w:val="28"/>
        </w:rPr>
        <w:t xml:space="preserve">асно приказу Министерства труда и социальной защиты Российской Федерации </w:t>
      </w:r>
      <w:r>
        <w:rPr>
          <w:sz w:val="28"/>
          <w:szCs w:val="28"/>
        </w:rPr>
        <w:br/>
        <w:t xml:space="preserve">от 16 апреля 2024 года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</w:t>
      </w:r>
      <w:r>
        <w:rPr>
          <w:sz w:val="28"/>
          <w:szCs w:val="28"/>
        </w:rPr>
        <w:t xml:space="preserve">я в Российской Федерации», в государственную службу занятости».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целях содействия работодателям в установлении и выполнении квоты для приема на работу инвалидов, в том числе на специальных рабочих местах, центр занятости населения организует: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информ</w:t>
      </w:r>
      <w:r>
        <w:rPr>
          <w:sz w:val="28"/>
          <w:szCs w:val="28"/>
        </w:rPr>
        <w:t xml:space="preserve">ирование работодателей об обязательных требованиях в области квотирования рабочих мест для приема на работу инвалидов, установленных нормативными правовыми актами Российской Федерации и нормативными правовыми актами Забайкальского края (далее – обязательны</w:t>
      </w:r>
      <w:r>
        <w:rPr>
          <w:sz w:val="28"/>
          <w:szCs w:val="28"/>
        </w:rPr>
        <w:t xml:space="preserve">е требования);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консультирование работодателей по вопросам исполнения обязательных требований, в том числе посредством проведения разъяснительных встреч, семинаров и иных мероприятий;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разработку методических материалов для работодателей в целях выполн</w:t>
      </w:r>
      <w:r>
        <w:rPr>
          <w:sz w:val="28"/>
          <w:szCs w:val="28"/>
        </w:rPr>
        <w:t xml:space="preserve">ения установленной квоты для приема на работу инвалидов и оснащения специальных рабочих мест;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содействие в подборе работников из числа инвалидов, зарегистрированных в центре занятости в качестве безработных или состоящих на учете в качестве ищущих работ</w:t>
      </w:r>
      <w:r>
        <w:rPr>
          <w:sz w:val="28"/>
          <w:szCs w:val="28"/>
        </w:rPr>
        <w:t xml:space="preserve">у, по обращению работодателя;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информирование и консультирование работодателей по вопросам организации рабочего места для трудоустройства инвалида;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работу индивидуальных кураторов, закрепленных за работодателями, не выполняющими установленную квоту дл</w:t>
      </w:r>
      <w:r>
        <w:rPr>
          <w:sz w:val="28"/>
          <w:szCs w:val="28"/>
        </w:rPr>
        <w:t xml:space="preserve">я приема на работу инвалидов;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выявление организаций,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</w:t>
      </w:r>
      <w:r>
        <w:rPr>
          <w:sz w:val="28"/>
          <w:szCs w:val="28"/>
        </w:rPr>
        <w:t xml:space="preserve">динения инвалидов, и индивидуальных предпринимателей, согласных на трудоустройство инвалидов в соответствии </w:t>
      </w:r>
      <w:r>
        <w:rPr>
          <w:sz w:val="28"/>
          <w:szCs w:val="28"/>
        </w:rPr>
        <w:t xml:space="preserve">с соглашением о трудоустройстве инвалидов, в целях формирования, ведения на постоянной основе и актуализации списка таких организаций;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иные мероп</w:t>
      </w:r>
      <w:r>
        <w:rPr>
          <w:sz w:val="28"/>
          <w:szCs w:val="28"/>
        </w:rPr>
        <w:t xml:space="preserve">риятия в соответствии с законодательством.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Министерство осуществляет региональный государственный контроль (надзор) за приемом на работу инвалидов в пределах установленной квоты в соответствии со статьей 65 Федерального закона  </w:t>
      </w:r>
      <w:r>
        <w:rPr>
          <w:sz w:val="28"/>
          <w:szCs w:val="28"/>
        </w:rPr>
        <w:br/>
        <w:t xml:space="preserve">№ 565-ФЗ, Положением о </w:t>
      </w:r>
      <w:r>
        <w:rPr>
          <w:sz w:val="28"/>
          <w:szCs w:val="28"/>
        </w:rPr>
        <w:t xml:space="preserve">региональном государственном контроле (надзоре) за приемом на работу инвалидов в пределах установленной квоты на территории Забайкальского края, утвержденным постановлением Правительства Забайкальского края от 29 октября 2021 года № 426.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6"/>
        </w:numPr>
        <w:ind w:left="0" w:firstLine="0"/>
        <w:jc w:val="center"/>
        <w:tabs>
          <w:tab w:val="left" w:pos="28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Стимулирование со</w:t>
      </w:r>
      <w:r>
        <w:rPr>
          <w:b/>
          <w:sz w:val="28"/>
          <w:szCs w:val="28"/>
        </w:rPr>
        <w:t xml:space="preserve">здания работодателями дополнительных рабочих мест (в том числе специальных) для трудоустройства инвалидов</w:t>
      </w:r>
      <w:r>
        <w:rPr>
          <w:b/>
          <w:sz w:val="28"/>
          <w:szCs w:val="28"/>
        </w:rPr>
      </w:r>
    </w:p>
    <w:p>
      <w:pPr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284" w:leader="none"/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 Стимулирование создания работодателями дополнительных рабочих мест (в том числе специальных) для трудоустройства инвалидов осуществляется в рамк</w:t>
      </w:r>
      <w:r>
        <w:rPr>
          <w:sz w:val="28"/>
          <w:szCs w:val="28"/>
        </w:rPr>
        <w:t xml:space="preserve">ах мероприятий государственной программы Забайкальского края «Содействие занятости населения».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284" w:leader="none"/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 созданием дополнительных рабочих мест (в том числе специальных) для трудоустройства инвалидов понимается оборудование (оснащение)</w:t>
      </w:r>
      <w:r>
        <w:rPr>
          <w:sz w:val="28"/>
          <w:szCs w:val="28"/>
        </w:rPr>
        <w:t xml:space="preserve"> имеющихся рабочих мест с учетом нарушенных функций и ограничений жизнедеятельности инвалидов.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284" w:leader="none"/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12. Центр занятости населения в целях стимулирования создания работодателями рабочих мест для трудоустройства инвалидов: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284" w:leader="none"/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популяризирует практики заключения со</w:t>
      </w:r>
      <w:r>
        <w:rPr>
          <w:sz w:val="28"/>
          <w:szCs w:val="28"/>
        </w:rPr>
        <w:t xml:space="preserve">глашений о трудоустройстве инвалидов с общественными организациями;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284" w:leader="none"/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публикует информацию о работодателях, достигших успеха в сфере содействия занятости инвалидов, для повышения их репутации и привлечения внимания к вопросам трудоустройства инвалидов;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284" w:leader="none"/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 проводит мероприятия, направленные на выявление и распространение лучших практик трудоустройства инвалидов.</w:t>
      </w:r>
      <w:r>
        <w:rPr>
          <w:sz w:val="28"/>
          <w:szCs w:val="28"/>
        </w:rPr>
      </w:r>
    </w:p>
    <w:p>
      <w:pPr>
        <w:jc w:val="both"/>
        <w:tabs>
          <w:tab w:val="left" w:pos="284" w:leader="none"/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6"/>
        </w:numPr>
        <w:ind w:hanging="1069"/>
        <w:jc w:val="center"/>
        <w:tabs>
          <w:tab w:val="left" w:pos="284" w:leader="none"/>
          <w:tab w:val="left" w:pos="709" w:leader="none"/>
          <w:tab w:val="left" w:pos="1134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Создание инвалидам условий труда в соответствии с ИПРА</w:t>
      </w:r>
      <w:r>
        <w:rPr>
          <w:b/>
          <w:sz w:val="28"/>
          <w:szCs w:val="28"/>
        </w:rPr>
      </w:r>
    </w:p>
    <w:p>
      <w:pPr>
        <w:ind w:left="1069"/>
        <w:tabs>
          <w:tab w:val="left" w:pos="284" w:leader="none"/>
          <w:tab w:val="left" w:pos="709" w:leader="none"/>
          <w:tab w:val="left" w:pos="1134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13.  Центр занятости населения в целях содействия инвалидам в трудоустройстве на вакансии </w:t>
      </w:r>
      <w:r>
        <w:rPr>
          <w:sz w:val="28"/>
          <w:szCs w:val="28"/>
        </w:rPr>
        <w:t xml:space="preserve">в соответствии с ИПРА осуществляет: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профессиональную ориентацию инвалидов, в том числе путем профессиональных тестов и диагностики с использованием разнообразных методик, инструментов для оценки профессиональных интересов, способностей и склонностей инв</w:t>
      </w:r>
      <w:r>
        <w:rPr>
          <w:sz w:val="28"/>
          <w:szCs w:val="28"/>
        </w:rPr>
        <w:t xml:space="preserve">алидов;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индивидуальные консультации инвалидов с назначением персональных консультантов в целях разработки индивидуальных карьерных планов;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проведение групповых тренингов, направленных на развитие навыков самопрезинтации, составления резюме и сопровод</w:t>
      </w:r>
      <w:r>
        <w:rPr>
          <w:sz w:val="28"/>
          <w:szCs w:val="28"/>
        </w:rPr>
        <w:t xml:space="preserve">ительных писем, а также подготовку к собеседованиям;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ознакомление инвалидов с информационными ресурсами: соответствующим разделом на Единой цифровой платформе, региональными сайтами и мобильными приложениями, предоставляющими инвалидам информацию о дост</w:t>
      </w:r>
      <w:r>
        <w:rPr>
          <w:sz w:val="28"/>
          <w:szCs w:val="28"/>
        </w:rPr>
        <w:t xml:space="preserve">упных вакансиях;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 организацию тренингов по развитию гибких навыков, необходимых для конкретных профессий;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 организацию клубов в целях поддержки инвалидов;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 участие в социальных проектах, в том числе межведомственных, направленных на интеграцию инвали</w:t>
      </w:r>
      <w:r>
        <w:rPr>
          <w:sz w:val="28"/>
          <w:szCs w:val="28"/>
        </w:rPr>
        <w:t xml:space="preserve">дов в общественную жизнь, включая участие в волонтерских инициативах, культурных и спортивных мероприятиях.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14. Центр занятости населения в целях содействия работодателям в создании условий труда в соответствии с ИПРА осуществляет: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консультирование рабо</w:t>
      </w:r>
      <w:r>
        <w:rPr>
          <w:sz w:val="28"/>
          <w:szCs w:val="28"/>
        </w:rPr>
        <w:t xml:space="preserve">тодателей, в том числе с привлечением компетентных по отдельным вопросам партнеров службы занятости (по оценке условий труда, по медицинским вопросам и т.д.), в части создания и организации процесса по адаптации рабочих мест в соответствии с потребностью и</w:t>
      </w:r>
      <w:r>
        <w:rPr>
          <w:sz w:val="28"/>
          <w:szCs w:val="28"/>
        </w:rPr>
        <w:t xml:space="preserve">нвалидов, включая установку специализированного оборудования, изменение рабочего графика, организацию безбарьерной среды;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индивидуальные консультации по вопросам подбора кадров из числа незанятых инвалидов;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разработку по запросам работодателей, прини</w:t>
      </w:r>
      <w:r>
        <w:rPr>
          <w:sz w:val="28"/>
          <w:szCs w:val="28"/>
        </w:rPr>
        <w:t xml:space="preserve">мающих на работу инвалида, индивидуального плана мероприятий, рекомендуемых при сопровождении инвалида при оформлении его трудоустройства, профессиональной адаптации на рабочем месте, формирования пути его передвижения до места работы и обратно и по террит</w:t>
      </w:r>
      <w:r>
        <w:rPr>
          <w:sz w:val="28"/>
          <w:szCs w:val="28"/>
        </w:rPr>
        <w:t xml:space="preserve">ории работодателя;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содействие в организации программ наставничества, в рамках которых опытные сотрудники помогают инвалидам адаптироваться к новым условиям работы, освоить профессиональные задачи и интегрироваться в коллектив;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 проведение тренингов и семинаров для работодателей по вопросам организации рабочего места для инвалидов, их адаптации и эффективного взаимодействия, в том числе в части разъяснений требований законодательства и обмена лучшими практиками.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15. Центр занят</w:t>
      </w:r>
      <w:r>
        <w:rPr>
          <w:sz w:val="28"/>
          <w:szCs w:val="28"/>
        </w:rPr>
        <w:t xml:space="preserve">ости населения оказывает содействие работодателям в разработке системы мониторинга условий труда, которая включает в себя: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использование опросников и анкет для получения обратной связи от сотрудников с инвалидностью в целях выявления их потребностей, пр</w:t>
      </w:r>
      <w:r>
        <w:rPr>
          <w:sz w:val="28"/>
          <w:szCs w:val="28"/>
        </w:rPr>
        <w:t xml:space="preserve">облем, удовлетворенности условиями труда, социальной адаптации, а также уровнем профессионального развития;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внесение изменений и корректировку условий труда и адаптации рабочих мест на основе результатов мониторинга и обратной связи.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16. Центр занятости населения организует взаимодействие работодателей с общественными организациями в части предоставления информации о потребностях инвалидов различных нозологий, участия в </w:t>
      </w:r>
      <w:r>
        <w:rPr>
          <w:sz w:val="28"/>
          <w:szCs w:val="28"/>
        </w:rPr>
        <w:t xml:space="preserve">мониторинге условий труда, оказания поддержки в обучении работнико</w:t>
      </w:r>
      <w:r>
        <w:rPr>
          <w:sz w:val="28"/>
          <w:szCs w:val="28"/>
        </w:rPr>
        <w:t xml:space="preserve">в, проведении тренингов и семинаров.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6"/>
        </w:numPr>
        <w:ind w:hanging="1069"/>
        <w:jc w:val="center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Сопровождение при содействии занятости инвалидов</w:t>
      </w:r>
      <w:r>
        <w:rPr>
          <w:b/>
          <w:sz w:val="28"/>
          <w:szCs w:val="28"/>
        </w:rPr>
      </w:r>
    </w:p>
    <w:p>
      <w:pPr>
        <w:ind w:firstLine="709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17. Центр занятости населения оказывает индивидуальную помощь инвалиду, ищущему работу, при его трудоустройстве с учетом рекомендаций, содержащихся в ИПРА, об имеющихся</w:t>
      </w:r>
      <w:r>
        <w:rPr>
          <w:sz w:val="28"/>
          <w:szCs w:val="28"/>
        </w:rPr>
        <w:t xml:space="preserve"> у него ограничениях жизнедеятельности.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18. Сопровождение при содействии занятости инвалидов осуществляется в соответствии со Стандартом деятельности по осуществлению полномочия в сфере занятости населения по организации сопровождения при содействии занято</w:t>
      </w:r>
      <w:r>
        <w:rPr>
          <w:sz w:val="28"/>
          <w:szCs w:val="28"/>
        </w:rPr>
        <w:t xml:space="preserve">сти инвалидов, утвержденным приказом Министерства труда и социальной защиты Российской Федерации от 12 декабря 2024 года № 692н.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19. При обращении инвалида в центр занятости населения за ним закрепляется персональный карьерный консультант, который сопровож</w:t>
      </w:r>
      <w:r>
        <w:rPr>
          <w:sz w:val="28"/>
          <w:szCs w:val="28"/>
        </w:rPr>
        <w:t xml:space="preserve">дает инвалида на всех этапах поиска подходящей работы, получения государственных мер поддержки и сервисов в сфере занятости населения, дополнительных услуг, предоставляемых центром занятости населения.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20. Организация предоставления инвалидам государственн</w:t>
      </w:r>
      <w:r>
        <w:rPr>
          <w:sz w:val="28"/>
          <w:szCs w:val="28"/>
        </w:rPr>
        <w:t xml:space="preserve">ых мер поддержки и сервисов в сфере занятости населения, государственных, муниципальных услуг в других сферах и иных услуг осуществляется по принципу «одного окна» посредством взаимодействия с многофункциональными центрами предоставления государственных и </w:t>
      </w:r>
      <w:r>
        <w:rPr>
          <w:sz w:val="28"/>
          <w:szCs w:val="28"/>
        </w:rPr>
        <w:t xml:space="preserve">муниципальных услуг, организациями, образующими инфраструктуру поддержки субъектов малого и среднего предпринимательства негосударственными организациями, в том числе осуществляющими оказание инвалидам индивидуальной помощи.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21. Помощь инвалидам в формиров</w:t>
      </w:r>
      <w:r>
        <w:rPr>
          <w:sz w:val="28"/>
          <w:szCs w:val="28"/>
        </w:rPr>
        <w:t xml:space="preserve">ании пути их передвижения до места работы и обратно, а также иные мероприятия по сопровождению, при наличии такой потребности, может оказываться негосударственными организациями, осуществляющими оказание инвалиду индивидуальной помощи в виде сопровождения,</w:t>
      </w:r>
      <w:r>
        <w:rPr>
          <w:sz w:val="28"/>
          <w:szCs w:val="28"/>
        </w:rPr>
        <w:t xml:space="preserve"> включая общероссийские, межрегиональные, региональные и местные общественные объединения инвалидов, на основании договоров, заключаемых с центром занятости населения.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22. В целях повышения качества услуг (мероприятий) инвалидам, оказываемых в ходе их труд</w:t>
      </w:r>
      <w:r>
        <w:rPr>
          <w:sz w:val="28"/>
          <w:szCs w:val="28"/>
        </w:rPr>
        <w:t xml:space="preserve">оустройства, центром занятости населения осуществляется работа по привлечению негосударственных организаций к сотрудничеству, заключению  с ними соглашений и договоров.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6"/>
        </w:numPr>
        <w:ind w:left="0" w:firstLine="0"/>
        <w:jc w:val="center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Создание условий для осуществления инвалидами предпринимательской деятельности</w:t>
      </w:r>
      <w:r>
        <w:rPr>
          <w:b/>
          <w:sz w:val="28"/>
          <w:szCs w:val="28"/>
        </w:rPr>
      </w:r>
    </w:p>
    <w:p>
      <w:pPr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23. С целью создания условий для осуществления инвалидами предпринимательской деятельности центром занятости населения осуществляются следующие мероприятия: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проведение специализированных семинаров и тренингов, в том числе с привлечением партнеров – орга</w:t>
      </w:r>
      <w:r>
        <w:rPr>
          <w:sz w:val="28"/>
          <w:szCs w:val="28"/>
        </w:rPr>
        <w:t xml:space="preserve">низаций и учреждений, входящих в инфраструктуру поддержки субъектов малого и среднего предпринимательства (далее – организации «Мой бизнес»), направленных на обучение инвалидов основам предпринимательской деятельности, финансовому менеджменту, маркетингу и</w:t>
      </w:r>
      <w:r>
        <w:rPr>
          <w:sz w:val="28"/>
          <w:szCs w:val="28"/>
        </w:rPr>
        <w:t xml:space="preserve"> правовым аспектам ведения бизнеса;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проведение специализированных семинаров и тренингов, в том числе с привлечением организаций «Мой бизнес», для действующих предпринимателей в целях адаптации к изменениям на рынке и закрепления статуса занятости;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пр</w:t>
      </w:r>
      <w:r>
        <w:rPr>
          <w:sz w:val="28"/>
          <w:szCs w:val="28"/>
        </w:rPr>
        <w:t xml:space="preserve">едоставление инвалидам консультационных услуг по вопросам регистрации бизнеса, налогообложения, бухгалтерского учета, маркетинга и других аспектов предпринимательской деятельности, в том числе с привлечением организаций «Мой бизнес» и других партнеров служ</w:t>
      </w:r>
      <w:r>
        <w:rPr>
          <w:sz w:val="28"/>
          <w:szCs w:val="28"/>
        </w:rPr>
        <w:t xml:space="preserve">бы занятости населения;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Информационная поддержка осуществления инвалидами предпринимательской деятельности, в том числе в части создания отдельных информационных ресурсов или размещения соответствующей информации на имеющихся Интернет-ресурсах, проведения </w:t>
      </w:r>
      <w:r>
        <w:rPr>
          <w:sz w:val="28"/>
          <w:szCs w:val="28"/>
        </w:rPr>
        <w:t xml:space="preserve">информационных кампаний, направленных на повышение осведомленности инвалидов о возможностях предпринимательской деятельности и доступных ресурсах.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24. Размер, порядок и условия предоставления единовременной финансовой помощи безработным гражданам при госуд</w:t>
      </w:r>
      <w:r>
        <w:rPr>
          <w:sz w:val="28"/>
          <w:szCs w:val="28"/>
        </w:rPr>
        <w:t xml:space="preserve">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</w:t>
      </w:r>
      <w:r>
        <w:rPr>
          <w:sz w:val="28"/>
          <w:szCs w:val="28"/>
        </w:rPr>
        <w:t xml:space="preserve">ка налога на профессиональный доход определены постановлением Правительства Забайкальского края </w:t>
      </w:r>
      <w:r>
        <w:rPr>
          <w:sz w:val="28"/>
          <w:szCs w:val="28"/>
        </w:rPr>
        <w:br/>
        <w:t xml:space="preserve">от 13 ноября 2012 года № 493 «Об утверждении Положения о единовременной финансовой помощи при государственной регистрации в качестве индивидуального предприним</w:t>
      </w:r>
      <w:r>
        <w:rPr>
          <w:sz w:val="28"/>
          <w:szCs w:val="28"/>
        </w:rPr>
        <w:t xml:space="preserve">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гражданам, признанным в </w:t>
      </w:r>
      <w:r>
        <w:rPr>
          <w:sz w:val="28"/>
          <w:szCs w:val="28"/>
        </w:rPr>
        <w:t xml:space="preserve">установленном порядке безработными, и гражданам, признанным в установленном порядке безработными, прошедшими профессиональное обучение или получившим дополнительное профессиональное образование по направлению органов службы занятости».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25. Центром занятост</w:t>
      </w:r>
      <w:r>
        <w:rPr>
          <w:sz w:val="28"/>
          <w:szCs w:val="28"/>
        </w:rPr>
        <w:t xml:space="preserve">и населения инвалидам оказывается психологическая поддержка в части: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предоставления психологической помощи и консультаций инвалидам, занимающимся предпринимательской деятельностью, в целях преодоления стресса и эмоциональных трудностей, связанных с веде</w:t>
      </w:r>
      <w:r>
        <w:rPr>
          <w:sz w:val="28"/>
          <w:szCs w:val="28"/>
        </w:rPr>
        <w:t xml:space="preserve">нием бизнеса, привлечение профессиональных коучей на волонтерских, социальных началах в целях повышения уверенности и мотивации инвалидов;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организация мотивационных программ и мероприятий, направленных на повышение уверенности инвалидов в своих силах и </w:t>
      </w:r>
      <w:r>
        <w:rPr>
          <w:sz w:val="28"/>
          <w:szCs w:val="28"/>
        </w:rPr>
        <w:t xml:space="preserve">мотивации к ведению предпринимательской деятельности.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6"/>
        </w:numPr>
        <w:ind w:left="0" w:firstLine="0"/>
        <w:jc w:val="center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прохождения профессионального обучения, получения дополнительного профессионального образования инвалидами в соответствии с перечнем востребованных на рынке труда профессий, специальностей,</w:t>
      </w:r>
      <w:r>
        <w:rPr>
          <w:b/>
          <w:sz w:val="28"/>
          <w:szCs w:val="28"/>
        </w:rPr>
        <w:t xml:space="preserve"> утверждаемым Министерством</w:t>
      </w:r>
      <w:r>
        <w:rPr>
          <w:b/>
          <w:sz w:val="28"/>
          <w:szCs w:val="28"/>
        </w:rPr>
      </w:r>
    </w:p>
    <w:p>
      <w:pPr>
        <w:jc w:val="center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26. Организация прохождения профессионального обучения, получения дополнительного профессионального образования осуществляется в соответствии со Стандартом деятельности по осуществлению полномочия в сфере занятости населения по</w:t>
      </w:r>
      <w:r>
        <w:rPr>
          <w:sz w:val="28"/>
          <w:szCs w:val="28"/>
        </w:rPr>
        <w:t xml:space="preserve">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утвержденным приказом Министерства труда и социальной защиты Российской Ф</w:t>
      </w:r>
      <w:r>
        <w:rPr>
          <w:sz w:val="28"/>
          <w:szCs w:val="28"/>
        </w:rPr>
        <w:t xml:space="preserve">едерации от 7 ноября 2024 года № 611н, Стандартом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</w:t>
      </w:r>
      <w:r>
        <w:rPr>
          <w:sz w:val="28"/>
          <w:szCs w:val="28"/>
        </w:rPr>
        <w:t xml:space="preserve"> по уходу за ребенком до достижении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иными категория</w:t>
      </w:r>
      <w:r>
        <w:rPr>
          <w:sz w:val="28"/>
          <w:szCs w:val="28"/>
        </w:rPr>
        <w:t xml:space="preserve">ми граждан, утвержденным приказом Министерства труда и социальной защиты Российской Федерации от 21 ноября 2024 года № 628н.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27. Дополнительные мероприятия  в части организации центром занятости населения профессионального обучения, получения дополнительно</w:t>
      </w:r>
      <w:r>
        <w:rPr>
          <w:sz w:val="28"/>
          <w:szCs w:val="28"/>
        </w:rPr>
        <w:t xml:space="preserve">го профессионального образования включают: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проведение регулярного анализа рынка труда для выявления наиболее востребованных профессий и навыков в целях составления регионального перечня наиболее востребованных профессий;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проведение анкетирования, инт</w:t>
      </w:r>
      <w:r>
        <w:rPr>
          <w:sz w:val="28"/>
          <w:szCs w:val="28"/>
        </w:rPr>
        <w:t xml:space="preserve">ервью и консультаций с инвалидами для определения их профессиональных интересов и потребностей в обучении;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создание планов обучения инвалидов с учетом рекомендаций ИПРА;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 содействие в оформлении документов и направлении их в образовательные организац</w:t>
      </w:r>
      <w:r>
        <w:rPr>
          <w:sz w:val="28"/>
          <w:szCs w:val="28"/>
        </w:rPr>
        <w:t xml:space="preserve">ии;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 разработка совместно с образовательными организациями специализированных учебных программ с учетом специфических потребностей инвалидов;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 организация оплачиваемых стажировок инвалидов для получения практического опыта и повышения шансов на трудоус</w:t>
      </w:r>
      <w:r>
        <w:rPr>
          <w:sz w:val="28"/>
          <w:szCs w:val="28"/>
        </w:rPr>
        <w:t xml:space="preserve">тройство;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284" w:leader="none"/>
          <w:tab w:val="left" w:pos="709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 проведение мониторинга и оценки эффективности мероприятий по профессиональному обучению инвалидов в части их дальнейшего трудоустройства по полученной профессии и закрепляемости на рабочих местах.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567" w:bottom="426" w:left="1985" w:header="340" w:footer="510" w:gutter="0"/>
      <w:pgNumType w:start="1"/>
      <w:rtlGutter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Style w:val="906"/>
      </w:rPr>
      <w:framePr w:wrap="auto" w:vAnchor="text" w:hAnchor="margin" w:xAlign="center" w:y="1"/>
    </w:pPr>
    <w:r/>
    <w:r>
      <w:rPr>
        <w:rStyle w:val="906"/>
      </w:rPr>
    </w:r>
  </w:p>
  <w:p>
    <w:pPr>
      <w:pStyle w:val="9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90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  <w:tabs>
          <w:tab w:val="num" w:pos="19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  <w:tabs>
          <w:tab w:val="num" w:pos="26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  <w:tabs>
          <w:tab w:val="num" w:pos="33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  <w:tabs>
          <w:tab w:val="num" w:pos="40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  <w:tabs>
          <w:tab w:val="num" w:pos="48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  <w:tabs>
          <w:tab w:val="num" w:pos="5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  <w:tabs>
          <w:tab w:val="num" w:pos="62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  <w:tabs>
          <w:tab w:val="num" w:pos="696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5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4"/>
  </w:num>
  <w:num w:numId="11">
    <w:abstractNumId w:val="13"/>
  </w:num>
  <w:num w:numId="12">
    <w:abstractNumId w:val="0"/>
  </w:num>
  <w:num w:numId="13">
    <w:abstractNumId w:val="4"/>
  </w:num>
  <w:num w:numId="14">
    <w:abstractNumId w:val="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2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7"/>
    <w:link w:val="740"/>
    <w:uiPriority w:val="10"/>
    <w:rPr>
      <w:sz w:val="48"/>
      <w:szCs w:val="48"/>
    </w:rPr>
  </w:style>
  <w:style w:type="character" w:styleId="37">
    <w:name w:val="Subtitle Char"/>
    <w:basedOn w:val="727"/>
    <w:link w:val="742"/>
    <w:uiPriority w:val="11"/>
    <w:rPr>
      <w:sz w:val="24"/>
      <w:szCs w:val="24"/>
    </w:rPr>
  </w:style>
  <w:style w:type="character" w:styleId="39">
    <w:name w:val="Quote Char"/>
    <w:link w:val="744"/>
    <w:uiPriority w:val="29"/>
    <w:rPr>
      <w:i/>
    </w:rPr>
  </w:style>
  <w:style w:type="character" w:styleId="41">
    <w:name w:val="Intense Quote Char"/>
    <w:link w:val="746"/>
    <w:uiPriority w:val="30"/>
    <w:rPr>
      <w:i/>
    </w:rPr>
  </w:style>
  <w:style w:type="character" w:styleId="176">
    <w:name w:val="Footnote Text Char"/>
    <w:link w:val="877"/>
    <w:uiPriority w:val="99"/>
    <w:rPr>
      <w:sz w:val="18"/>
    </w:rPr>
  </w:style>
  <w:style w:type="character" w:styleId="179">
    <w:name w:val="Endnote Text Char"/>
    <w:link w:val="880"/>
    <w:uiPriority w:val="99"/>
    <w:rPr>
      <w:sz w:val="20"/>
    </w:rPr>
  </w:style>
  <w:style w:type="paragraph" w:styleId="717" w:default="1">
    <w:name w:val="Normal"/>
    <w:qFormat/>
  </w:style>
  <w:style w:type="paragraph" w:styleId="718">
    <w:name w:val="Heading 1"/>
    <w:basedOn w:val="717"/>
    <w:next w:val="71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894"/>
    <w:uiPriority w:val="99"/>
    <w:qFormat/>
    <w:pPr>
      <w:jc w:val="both"/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22">
    <w:name w:val="Heading 5"/>
    <w:basedOn w:val="717"/>
    <w:next w:val="717"/>
    <w:link w:val="895"/>
    <w:uiPriority w:val="99"/>
    <w:qFormat/>
    <w:pPr>
      <w:jc w:val="both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23">
    <w:name w:val="Heading 6"/>
    <w:basedOn w:val="717"/>
    <w:next w:val="717"/>
    <w:link w:val="896"/>
    <w:uiPriority w:val="99"/>
    <w:qFormat/>
    <w:pPr>
      <w:jc w:val="both"/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24">
    <w:name w:val="Heading 7"/>
    <w:basedOn w:val="717"/>
    <w:next w:val="717"/>
    <w:link w:val="897"/>
    <w:uiPriority w:val="99"/>
    <w:qFormat/>
    <w:pPr>
      <w:jc w:val="center"/>
      <w:keepNext/>
      <w:outlineLvl w:val="6"/>
    </w:pPr>
    <w:rPr>
      <w:rFonts w:ascii="Calibri" w:hAnsi="Calibri"/>
      <w:sz w:val="24"/>
      <w:szCs w:val="24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</w:style>
  <w:style w:type="paragraph" w:styleId="740">
    <w:name w:val="Title"/>
    <w:basedOn w:val="717"/>
    <w:next w:val="717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Название Знак"/>
    <w:basedOn w:val="727"/>
    <w:link w:val="740"/>
    <w:uiPriority w:val="10"/>
    <w:rPr>
      <w:sz w:val="48"/>
      <w:szCs w:val="48"/>
    </w:rPr>
  </w:style>
  <w:style w:type="paragraph" w:styleId="742">
    <w:name w:val="Subtitle"/>
    <w:basedOn w:val="717"/>
    <w:next w:val="717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basedOn w:val="727"/>
    <w:link w:val="742"/>
    <w:uiPriority w:val="11"/>
    <w:rPr>
      <w:sz w:val="24"/>
      <w:szCs w:val="24"/>
    </w:rPr>
  </w:style>
  <w:style w:type="paragraph" w:styleId="744">
    <w:name w:val="Quote"/>
    <w:basedOn w:val="717"/>
    <w:next w:val="717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7"/>
    <w:next w:val="717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27"/>
    <w:uiPriority w:val="99"/>
  </w:style>
  <w:style w:type="character" w:styleId="749" w:customStyle="1">
    <w:name w:val="Footer Char"/>
    <w:basedOn w:val="727"/>
    <w:uiPriority w:val="99"/>
  </w:style>
  <w:style w:type="paragraph" w:styleId="750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uiPriority w:val="99"/>
  </w:style>
  <w:style w:type="table" w:styleId="752" w:customStyle="1">
    <w:name w:val="Table Grid Light"/>
    <w:basedOn w:val="7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 w:customStyle="1">
    <w:name w:val="Plain Table 1"/>
    <w:basedOn w:val="7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2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2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2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2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2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2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2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2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2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2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 w:customStyle="1">
    <w:name w:val="Grid Table 5 Dark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2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2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2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2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2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2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7 Colorful"/>
    <w:basedOn w:val="72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"/>
    <w:basedOn w:val="72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2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2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2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2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2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2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2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2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 w:customStyle="1">
    <w:name w:val="List Table 7 Colorful"/>
    <w:basedOn w:val="72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2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2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2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2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2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2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2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2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2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2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2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2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2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2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2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2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2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7">
    <w:name w:val="footnote text"/>
    <w:basedOn w:val="717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27"/>
    <w:uiPriority w:val="99"/>
    <w:unhideWhenUsed/>
    <w:rPr>
      <w:vertAlign w:val="superscript"/>
    </w:rPr>
  </w:style>
  <w:style w:type="paragraph" w:styleId="880">
    <w:name w:val="endnote text"/>
    <w:basedOn w:val="717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27"/>
    <w:uiPriority w:val="99"/>
    <w:semiHidden/>
    <w:unhideWhenUsed/>
    <w:rPr>
      <w:vertAlign w:val="superscript"/>
    </w:rPr>
  </w:style>
  <w:style w:type="paragraph" w:styleId="883">
    <w:name w:val="toc 1"/>
    <w:basedOn w:val="717"/>
    <w:next w:val="717"/>
    <w:uiPriority w:val="39"/>
    <w:unhideWhenUsed/>
    <w:pPr>
      <w:spacing w:after="57"/>
    </w:pPr>
  </w:style>
  <w:style w:type="paragraph" w:styleId="884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5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6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7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88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89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0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1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7"/>
    <w:next w:val="717"/>
    <w:uiPriority w:val="99"/>
    <w:unhideWhenUsed/>
  </w:style>
  <w:style w:type="character" w:styleId="894" w:customStyle="1">
    <w:name w:val="Заголовок 4 Знак"/>
    <w:basedOn w:val="727"/>
    <w:link w:val="721"/>
    <w:uiPriority w:val="99"/>
    <w:semiHidden/>
    <w:rPr>
      <w:rFonts w:ascii="Calibri" w:hAnsi="Calibri" w:cs="Times New Roman"/>
      <w:b/>
      <w:sz w:val="28"/>
    </w:rPr>
  </w:style>
  <w:style w:type="character" w:styleId="895" w:customStyle="1">
    <w:name w:val="Заголовок 5 Знак"/>
    <w:basedOn w:val="727"/>
    <w:link w:val="722"/>
    <w:uiPriority w:val="99"/>
    <w:semiHidden/>
    <w:rPr>
      <w:rFonts w:ascii="Calibri" w:hAnsi="Calibri" w:cs="Times New Roman"/>
      <w:b/>
      <w:i/>
      <w:sz w:val="26"/>
    </w:rPr>
  </w:style>
  <w:style w:type="character" w:styleId="896" w:customStyle="1">
    <w:name w:val="Заголовок 6 Знак"/>
    <w:basedOn w:val="727"/>
    <w:link w:val="723"/>
    <w:uiPriority w:val="99"/>
    <w:semiHidden/>
    <w:rPr>
      <w:rFonts w:ascii="Calibri" w:hAnsi="Calibri" w:cs="Times New Roman"/>
      <w:b/>
      <w:sz w:val="22"/>
    </w:rPr>
  </w:style>
  <w:style w:type="character" w:styleId="897" w:customStyle="1">
    <w:name w:val="Заголовок 7 Знак"/>
    <w:basedOn w:val="727"/>
    <w:link w:val="724"/>
    <w:uiPriority w:val="99"/>
    <w:semiHidden/>
    <w:rPr>
      <w:rFonts w:ascii="Calibri" w:hAnsi="Calibri" w:cs="Times New Roman"/>
      <w:sz w:val="24"/>
    </w:rPr>
  </w:style>
  <w:style w:type="paragraph" w:styleId="898">
    <w:name w:val="Body Text Indent 3"/>
    <w:basedOn w:val="717"/>
    <w:link w:val="899"/>
    <w:uiPriority w:val="99"/>
    <w:pPr>
      <w:ind w:left="75"/>
      <w:jc w:val="both"/>
      <w:tabs>
        <w:tab w:val="left" w:pos="851" w:leader="none"/>
      </w:tabs>
    </w:pPr>
    <w:rPr>
      <w:sz w:val="16"/>
      <w:szCs w:val="16"/>
    </w:rPr>
  </w:style>
  <w:style w:type="character" w:styleId="899" w:customStyle="1">
    <w:name w:val="Основной текст с отступом 3 Знак"/>
    <w:basedOn w:val="727"/>
    <w:link w:val="898"/>
    <w:uiPriority w:val="99"/>
    <w:rPr>
      <w:rFonts w:cs="Times New Roman"/>
      <w:sz w:val="16"/>
    </w:rPr>
  </w:style>
  <w:style w:type="paragraph" w:styleId="900">
    <w:name w:val="Body Text Indent 2"/>
    <w:basedOn w:val="717"/>
    <w:link w:val="901"/>
    <w:uiPriority w:val="99"/>
    <w:pPr>
      <w:ind w:left="426" w:hanging="426"/>
      <w:jc w:val="both"/>
    </w:pPr>
  </w:style>
  <w:style w:type="character" w:styleId="901" w:customStyle="1">
    <w:name w:val="Основной текст с отступом 2 Знак"/>
    <w:basedOn w:val="727"/>
    <w:link w:val="900"/>
    <w:uiPriority w:val="99"/>
    <w:semiHidden/>
    <w:rPr>
      <w:rFonts w:cs="Times New Roman"/>
    </w:rPr>
  </w:style>
  <w:style w:type="paragraph" w:styleId="902">
    <w:name w:val="Body Text 2"/>
    <w:basedOn w:val="717"/>
    <w:link w:val="903"/>
    <w:uiPriority w:val="99"/>
    <w:pPr>
      <w:jc w:val="both"/>
    </w:pPr>
  </w:style>
  <w:style w:type="character" w:styleId="903" w:customStyle="1">
    <w:name w:val="Основной текст 2 Знак"/>
    <w:basedOn w:val="727"/>
    <w:link w:val="902"/>
    <w:uiPriority w:val="99"/>
    <w:semiHidden/>
    <w:rPr>
      <w:rFonts w:cs="Times New Roman"/>
    </w:rPr>
  </w:style>
  <w:style w:type="paragraph" w:styleId="904">
    <w:name w:val="Header"/>
    <w:basedOn w:val="717"/>
    <w:link w:val="905"/>
    <w:uiPriority w:val="99"/>
    <w:pPr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727"/>
    <w:link w:val="904"/>
    <w:uiPriority w:val="99"/>
    <w:rPr>
      <w:rFonts w:cs="Times New Roman"/>
    </w:rPr>
  </w:style>
  <w:style w:type="character" w:styleId="906">
    <w:name w:val="page number"/>
    <w:basedOn w:val="727"/>
    <w:uiPriority w:val="99"/>
    <w:rPr>
      <w:rFonts w:cs="Times New Roman"/>
    </w:rPr>
  </w:style>
  <w:style w:type="paragraph" w:styleId="907">
    <w:name w:val="Body Text"/>
    <w:basedOn w:val="717"/>
    <w:link w:val="908"/>
    <w:uiPriority w:val="99"/>
    <w:pPr>
      <w:spacing w:after="120"/>
    </w:pPr>
  </w:style>
  <w:style w:type="character" w:styleId="908" w:customStyle="1">
    <w:name w:val="Основной текст Знак"/>
    <w:basedOn w:val="727"/>
    <w:link w:val="907"/>
    <w:uiPriority w:val="99"/>
    <w:semiHidden/>
    <w:rPr>
      <w:rFonts w:cs="Times New Roman"/>
    </w:rPr>
  </w:style>
  <w:style w:type="paragraph" w:styleId="909">
    <w:name w:val="Body Text 3"/>
    <w:basedOn w:val="717"/>
    <w:link w:val="910"/>
    <w:uiPriority w:val="99"/>
    <w:pPr>
      <w:spacing w:after="120"/>
    </w:pPr>
    <w:rPr>
      <w:sz w:val="16"/>
      <w:szCs w:val="16"/>
    </w:rPr>
  </w:style>
  <w:style w:type="character" w:styleId="910" w:customStyle="1">
    <w:name w:val="Основной текст 3 Знак"/>
    <w:basedOn w:val="727"/>
    <w:link w:val="909"/>
    <w:uiPriority w:val="99"/>
    <w:semiHidden/>
    <w:rPr>
      <w:rFonts w:cs="Times New Roman"/>
      <w:sz w:val="16"/>
    </w:rPr>
  </w:style>
  <w:style w:type="paragraph" w:styleId="911">
    <w:name w:val="Footer"/>
    <w:basedOn w:val="717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912" w:customStyle="1">
    <w:name w:val="Нижний колонтитул Знак"/>
    <w:basedOn w:val="727"/>
    <w:link w:val="911"/>
    <w:uiPriority w:val="99"/>
    <w:semiHidden/>
    <w:rPr>
      <w:rFonts w:cs="Times New Roman"/>
    </w:rPr>
  </w:style>
  <w:style w:type="paragraph" w:styleId="913" w:customStyle="1">
    <w:name w:val="Знак Знак Знак"/>
    <w:basedOn w:val="71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14">
    <w:name w:val="Balloon Text"/>
    <w:basedOn w:val="717"/>
    <w:link w:val="915"/>
    <w:uiPriority w:val="99"/>
    <w:semiHidden/>
    <w:rPr>
      <w:rFonts w:ascii="Tahoma" w:hAnsi="Tahoma"/>
      <w:sz w:val="16"/>
      <w:szCs w:val="16"/>
    </w:rPr>
  </w:style>
  <w:style w:type="character" w:styleId="915" w:customStyle="1">
    <w:name w:val="Текст выноски Знак"/>
    <w:basedOn w:val="727"/>
    <w:link w:val="914"/>
    <w:uiPriority w:val="99"/>
    <w:semiHidden/>
    <w:rPr>
      <w:rFonts w:ascii="Tahoma" w:hAnsi="Tahoma" w:cs="Times New Roman"/>
      <w:sz w:val="16"/>
    </w:rPr>
  </w:style>
  <w:style w:type="paragraph" w:styleId="916" w:customStyle="1">
    <w:name w:val="Знак Знак Знак1"/>
    <w:basedOn w:val="71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17" w:customStyle="1">
    <w:name w:val="Знак Знак Знак2"/>
    <w:basedOn w:val="71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18" w:customStyle="1">
    <w:name w:val="Знак Знак Знак3"/>
    <w:basedOn w:val="717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19">
    <w:name w:val="line number"/>
    <w:basedOn w:val="727"/>
    <w:uiPriority w:val="99"/>
    <w:semiHidden/>
    <w:unhideWhenUsed/>
    <w:rPr>
      <w:rFonts w:cs="Times New Roman"/>
    </w:rPr>
  </w:style>
  <w:style w:type="paragraph" w:styleId="92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1">
    <w:name w:val="List Paragraph"/>
    <w:basedOn w:val="717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22">
    <w:name w:val="Hyperlink"/>
    <w:basedOn w:val="727"/>
    <w:uiPriority w:val="99"/>
    <w:semiHidden/>
    <w:unhideWhenUsed/>
    <w:rPr>
      <w:rFonts w:cs="Times New Roman"/>
      <w:color w:val="0000ff"/>
      <w:u w:val="single"/>
    </w:rPr>
  </w:style>
  <w:style w:type="paragraph" w:styleId="923" w:customStyle="1">
    <w:name w:val="pboth"/>
    <w:basedOn w:val="717"/>
    <w:pPr>
      <w:spacing w:before="100" w:beforeAutospacing="1" w:after="100" w:afterAutospacing="1"/>
    </w:pPr>
    <w:rPr>
      <w:sz w:val="24"/>
      <w:szCs w:val="24"/>
    </w:rPr>
  </w:style>
  <w:style w:type="paragraph" w:styleId="924" w:customStyle="1">
    <w:name w:val="s_3"/>
    <w:basedOn w:val="717"/>
    <w:pPr>
      <w:spacing w:before="100" w:beforeAutospacing="1" w:after="100" w:afterAutospacing="1"/>
    </w:pPr>
    <w:rPr>
      <w:sz w:val="24"/>
      <w:szCs w:val="24"/>
    </w:rPr>
  </w:style>
  <w:style w:type="table" w:styleId="925">
    <w:name w:val="Table Grid"/>
    <w:basedOn w:val="728"/>
    <w:uiPriority w:val="59"/>
    <w:rPr>
      <w:rFonts w:ascii="Calibri" w:hAnsi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 w:customStyle="1">
    <w:name w:val="ConsPlusCell"/>
    <w:uiPriority w:val="99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3C76-C2E8-44A4-BAE3-DBDFB18C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revision>6</cp:revision>
  <dcterms:created xsi:type="dcterms:W3CDTF">2025-07-01T08:35:00Z</dcterms:created>
  <dcterms:modified xsi:type="dcterms:W3CDTF">2025-07-21T01:35:39Z</dcterms:modified>
</cp:coreProperties>
</file>