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0"/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w:rPr>
          <w:sz w:val="2"/>
          <w:szCs w:val="2"/>
        </w:rPr>
        <w:fldChar w:fldCharType="begin"/>
      </w:r>
      <w:r>
        <w:rPr>
          <w:sz w:val="2"/>
          <w:szCs w:val="2"/>
        </w:rPr>
        <w:instrText xml:space="preserve"> SHAPE  \* MERGEFORMAT </w:instrText>
      </w:r>
      <w:r>
        <w:rPr>
          <w:sz w:val="2"/>
          <w:szCs w:val="2"/>
        </w:rPr>
        <w:fldChar w:fldCharType="separate"/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  <w:r>
        <w:rPr>
          <w:sz w:val="2"/>
          <w:szCs w:val="2"/>
        </w:rPr>
        <w:fldChar w:fldCharType="end"/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9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9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9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9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9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90"/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spacing w:val="-14"/>
          <w:sz w:val="6"/>
          <w:szCs w:val="6"/>
        </w:rPr>
      </w:pPr>
      <w:r>
        <w:rPr>
          <w:bCs/>
          <w:spacing w:val="-6"/>
          <w:sz w:val="35"/>
          <w:szCs w:val="35"/>
          <w:highlight w:val="none"/>
        </w:rPr>
      </w:r>
      <w:r>
        <w:rPr>
          <w:spacing w:val="-14"/>
          <w:sz w:val="6"/>
          <w:szCs w:val="6"/>
        </w:rPr>
      </w:r>
      <w:r>
        <w:rPr>
          <w:spacing w:val="-14"/>
          <w:sz w:val="6"/>
          <w:szCs w:val="6"/>
        </w:rPr>
      </w:r>
    </w:p>
    <w:p>
      <w:pPr>
        <w:pStyle w:val="890"/>
        <w:jc w:val="center"/>
        <w:shd w:val="clear" w:color="auto" w:fill="ffffff"/>
        <w:rPr>
          <w:spacing w:val="-6"/>
          <w:sz w:val="35"/>
          <w:szCs w:val="35"/>
          <w:highlight w:val="none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spacing w:val="-6"/>
          <w:sz w:val="35"/>
          <w:szCs w:val="35"/>
          <w:highlight w:val="none"/>
        </w:rPr>
      </w:r>
      <w:r>
        <w:rPr>
          <w:spacing w:val="-6"/>
          <w:sz w:val="35"/>
          <w:szCs w:val="35"/>
          <w:highlight w:val="none"/>
        </w:rPr>
      </w:r>
    </w:p>
    <w:p>
      <w:pPr>
        <w:pStyle w:val="890"/>
        <w:ind w:right="1"/>
        <w:jc w:val="both"/>
        <w:rPr>
          <w:b/>
          <w:bCs/>
          <w:sz w:val="28"/>
          <w:szCs w:val="28"/>
        </w:rPr>
      </w:pPr>
      <w:r/>
      <w:bookmarkEnd w:id="0"/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0"/>
        <w:ind w:right="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0"/>
        <w:jc w:val="center"/>
        <w:rPr>
          <w:b/>
          <w:sz w:val="10"/>
          <w:szCs w:val="10"/>
        </w:rPr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>
        <w:rPr>
          <w:b/>
          <w:sz w:val="10"/>
          <w:szCs w:val="10"/>
        </w:rPr>
      </w:r>
    </w:p>
    <w:p>
      <w:pPr>
        <w:pStyle w:val="89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</w:t>
      </w:r>
      <w:r>
        <w:rPr>
          <w:b/>
          <w:sz w:val="28"/>
          <w:szCs w:val="28"/>
        </w:rPr>
        <w:t xml:space="preserve"> в </w:t>
      </w:r>
      <w:bookmarkStart w:id="2" w:name="_Hlk130915746"/>
      <w:r>
        <w:rPr>
          <w:b/>
          <w:sz w:val="28"/>
          <w:szCs w:val="28"/>
        </w:rPr>
        <w:t xml:space="preserve">пункт 5 </w:t>
      </w:r>
      <w:r>
        <w:rPr>
          <w:b/>
          <w:sz w:val="28"/>
          <w:szCs w:val="28"/>
        </w:rPr>
        <w:t xml:space="preserve">Поряд</w:t>
      </w:r>
      <w:r>
        <w:rPr>
          <w:b/>
          <w:sz w:val="28"/>
          <w:szCs w:val="28"/>
        </w:rPr>
        <w:t xml:space="preserve">к</w:t>
      </w:r>
      <w:r>
        <w:rPr>
          <w:b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выплаты лицом, на имя которого открыт специальный счет, и (или) выплаты (возврата) региональным оператором средств фонда капитального ремонта собственникам помещений в многоквартирном доме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0"/>
        <w:ind w:right="1"/>
        <w:rPr>
          <w:sz w:val="28"/>
          <w:szCs w:val="28"/>
        </w:rPr>
      </w:pPr>
      <w:r/>
      <w:bookmarkEnd w:id="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right="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</w:t>
      </w:r>
      <w:r>
        <w:rPr>
          <w:sz w:val="28"/>
          <w:szCs w:val="28"/>
        </w:rPr>
        <w:t xml:space="preserve">приведения нормативн</w:t>
      </w:r>
      <w:r>
        <w:rPr>
          <w:sz w:val="28"/>
          <w:szCs w:val="28"/>
        </w:rPr>
        <w:t xml:space="preserve">ой правовой базы Забайкальского</w:t>
      </w:r>
      <w:r>
        <w:rPr>
          <w:sz w:val="28"/>
          <w:szCs w:val="28"/>
        </w:rPr>
        <w:t xml:space="preserve"> края в соответствие с действующим законодательством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равительство Забайкальского края </w:t>
      </w:r>
      <w:r>
        <w:rPr>
          <w:rFonts w:ascii="Times New Roman Полужирный" w:hAnsi="Times New Roman Полужирный"/>
          <w:b/>
          <w:spacing w:val="40"/>
          <w:sz w:val="28"/>
          <w:szCs w:val="28"/>
        </w:rPr>
        <w:t xml:space="preserve">постановля</w:t>
      </w:r>
      <w:r>
        <w:rPr>
          <w:rFonts w:ascii="Times New Roman Полужирный" w:hAnsi="Times New Roman Полужирный"/>
          <w:b/>
          <w:spacing w:val="40"/>
          <w:sz w:val="28"/>
          <w:szCs w:val="28"/>
        </w:rPr>
        <w:t xml:space="preserve">ет</w:t>
      </w:r>
      <w:r>
        <w:rPr>
          <w:rFonts w:ascii="Times New Roman Полужирный" w:hAnsi="Times New Roman Полужирный"/>
          <w:b/>
          <w:spacing w:val="40"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09"/>
        <w:jc w:val="both"/>
        <w:rPr>
          <w:sz w:val="20"/>
          <w:szCs w:val="20"/>
        </w:rPr>
        <w:outlineLvl w:val="0"/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0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Внести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пункт 5 </w:t>
      </w:r>
      <w:r>
        <w:rPr>
          <w:b w:val="0"/>
          <w:bCs w:val="0"/>
          <w:sz w:val="28"/>
          <w:szCs w:val="28"/>
        </w:rPr>
        <w:t xml:space="preserve">Поряд</w:t>
      </w:r>
      <w:r>
        <w:rPr>
          <w:b w:val="0"/>
          <w:bCs w:val="0"/>
          <w:sz w:val="28"/>
          <w:szCs w:val="28"/>
        </w:rPr>
        <w:t xml:space="preserve">к</w:t>
      </w:r>
      <w:r>
        <w:rPr>
          <w:b w:val="0"/>
          <w:b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  <w:t xml:space="preserve">выплаты лицом, на имя которого открыт специальный счет, и (или) выплаты (возврата) региональным оператором средств фонда капитального ремонта собственникам помещений в многоквартирном доме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</w:t>
      </w:r>
      <w:r>
        <w:rPr>
          <w:sz w:val="28"/>
          <w:szCs w:val="28"/>
        </w:rPr>
        <w:t xml:space="preserve">ого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постановлением</w:t>
      </w:r>
      <w:r>
        <w:rPr>
          <w:bCs/>
          <w:color w:val="22272f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Правительства Забайкальского края от 24</w:t>
      </w:r>
      <w:r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2013</w:t>
      </w:r>
      <w:r>
        <w:rPr>
          <w:sz w:val="28"/>
          <w:szCs w:val="28"/>
        </w:rPr>
        <w:t xml:space="preserve"> года № 576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изменениями, внесенными постановления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 Правительства Забайкальского края от 9 </w:t>
      </w:r>
      <w:r>
        <w:rPr>
          <w:sz w:val="28"/>
          <w:szCs w:val="28"/>
        </w:rPr>
        <w:t xml:space="preserve">апрел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2014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154, от 13 декабря 2016 года № 449, от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2019 года № 457, от 12 мая 2023 года № 232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30"/>
        <w:numPr>
          <w:ilvl w:val="0"/>
          <w:numId w:val="22"/>
        </w:numPr>
        <w:ind w:left="0" w:right="0" w:firstLine="709"/>
        <w:jc w:val="both"/>
        <w:rPr>
          <w:rFonts w:ascii="TimesNewRoman" w:hAnsi="TimesNewRoman" w:eastAsia="TimesNewRoman" w:cs="TimesNewRoman"/>
          <w:sz w:val="28"/>
          <w:szCs w:val="28"/>
        </w:rPr>
      </w:pPr>
      <w:r>
        <w:rPr>
          <w:sz w:val="28"/>
          <w:szCs w:val="28"/>
          <w:highlight w:val="none"/>
        </w:rPr>
        <w:t xml:space="preserve">в подпункте 3 слова «</w:t>
      </w:r>
      <w:r>
        <w:rPr>
          <w:rFonts w:ascii="TimesNewRoman" w:hAnsi="TimesNewRoman" w:eastAsia="TimesNewRoman" w:cs="TimesNewRoman"/>
          <w:sz w:val="28"/>
        </w:rPr>
        <w:t xml:space="preserve">Единого государственного реестра прав на недвижимое имущество и сделок с ним» заменить словами «Единого государственного реестра недвижимости»;</w:t>
      </w:r>
      <w:r>
        <w:rPr>
          <w:rFonts w:ascii="TimesNewRoman" w:hAnsi="TimesNewRoman" w:eastAsia="TimesNewRoman" w:cs="TimesNewRoman"/>
          <w:sz w:val="28"/>
          <w:szCs w:val="28"/>
        </w:rPr>
      </w:r>
      <w:r>
        <w:rPr>
          <w:rFonts w:ascii="TimesNewRoman" w:hAnsi="TimesNewRoman" w:eastAsia="TimesNewRoman" w:cs="TimesNewRoman"/>
          <w:sz w:val="28"/>
          <w:szCs w:val="28"/>
        </w:rPr>
      </w:r>
    </w:p>
    <w:p>
      <w:pPr>
        <w:pStyle w:val="730"/>
        <w:numPr>
          <w:ilvl w:val="0"/>
          <w:numId w:val="22"/>
        </w:numPr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4 </w:t>
      </w:r>
      <w:r>
        <w:rPr>
          <w:sz w:val="28"/>
          <w:szCs w:val="28"/>
        </w:rPr>
        <w:t xml:space="preserve">признать утратившим силу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left="0" w:right="0"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Исполняющий обязанности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первого заместителя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редседателя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  <w:tab/>
        <w:tab/>
        <w:tab/>
        <w:tab/>
        <w:tab/>
        <w:t xml:space="preserve">   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А.И.Кефер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567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Times New Roman Полужирный">
    <w:panose1 w:val="02020603050405020304"/>
  </w:font>
  <w:font w:name="SimSun">
    <w:panose1 w:val="02010600030101010101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jc w:val="center"/>
      <w:tabs>
        <w:tab w:val="left" w:pos="6237" w:leader="none"/>
      </w:tabs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831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55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627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1699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1771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1843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1915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1987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20591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75" w:hanging="375"/>
      </w:pPr>
      <w:rPr>
        <w:rFonts w:cs="Times New Roman"/>
      </w:rPr>
    </w:lvl>
    <w:lvl w:ilvl="1">
      <w:start w:val="6"/>
      <w:numFmt w:val="decimal"/>
      <w:isLgl w:val="false"/>
      <w:suff w:val="tab"/>
      <w:lvlText w:val="%1.%2"/>
      <w:lvlJc w:val="left"/>
      <w:pPr>
        <w:ind w:left="375" w:hanging="375"/>
      </w:pPr>
      <w:rPr>
        <w:rFonts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95" w:hanging="1185"/>
        <w:tabs>
          <w:tab w:val="num" w:pos="1895" w:leader="none"/>
        </w:tabs>
      </w:pPr>
      <w:rPr>
        <w:rFonts w:cs="Times New Roman"/>
        <w:b w:val="0"/>
        <w:bCs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1788" w:hanging="360"/>
        <w:tabs>
          <w:tab w:val="num" w:pos="1788" w:leader="none"/>
        </w:tabs>
      </w:pPr>
      <w:rPr>
        <w:rFonts w:cs="Times New Roman"/>
      </w:rPr>
    </w:lvl>
    <w:lvl w:ilvl="2">
      <w:start w:val="1"/>
      <w:numFmt w:val="thaiNumbers"/>
      <w:isLgl w:val="false"/>
      <w:suff w:val="tab"/>
      <w:lvlText w:val="%3)"/>
      <w:lvlJc w:val="left"/>
      <w:pPr>
        <w:ind w:left="2688" w:hanging="360"/>
        <w:tabs>
          <w:tab w:val="num" w:pos="2688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353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  <w:b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94" w:hanging="118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4" w:hanging="70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)"/>
      <w:lvlJc w:val="right"/>
      <w:pPr>
        <w:ind w:left="900" w:hanging="180"/>
        <w:tabs>
          <w:tab w:val="num" w:pos="900" w:leader="none"/>
        </w:tabs>
      </w:pPr>
      <w:rPr>
        <w:rFonts w:ascii="Times New Roman" w:hAnsi="Times New Roman" w:eastAsia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1"/>
  </w:num>
  <w:num w:numId="5">
    <w:abstractNumId w:val="18"/>
  </w:num>
  <w:num w:numId="6">
    <w:abstractNumId w:val="3"/>
  </w:num>
  <w:num w:numId="7">
    <w:abstractNumId w:val="9"/>
  </w:num>
  <w:num w:numId="8">
    <w:abstractNumId w:val="6"/>
  </w:num>
  <w:num w:numId="9">
    <w:abstractNumId w:val="14"/>
  </w:num>
  <w:num w:numId="10">
    <w:abstractNumId w:val="15"/>
  </w:num>
  <w:num w:numId="11">
    <w:abstractNumId w:val="20"/>
  </w:num>
  <w:num w:numId="12">
    <w:abstractNumId w:val="2"/>
  </w:num>
  <w:num w:numId="13">
    <w:abstractNumId w:val="0"/>
  </w:num>
  <w:num w:numId="14">
    <w:abstractNumId w:val="7"/>
  </w:num>
  <w:num w:numId="15">
    <w:abstractNumId w:val="5"/>
  </w:num>
  <w:num w:numId="16">
    <w:abstractNumId w:val="10"/>
  </w:num>
  <w:num w:numId="17">
    <w:abstractNumId w:val="16"/>
  </w:num>
  <w:num w:numId="18">
    <w:abstractNumId w:val="17"/>
  </w:num>
  <w:num w:numId="19">
    <w:abstractNumId w:val="12"/>
  </w:num>
  <w:num w:numId="20">
    <w:abstractNumId w:val="13"/>
  </w:num>
  <w:num w:numId="21">
    <w:abstractNumId w:val="1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>
    <w:name w:val="Heading 1"/>
    <w:basedOn w:val="890"/>
    <w:next w:val="890"/>
    <w:link w:val="7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3">
    <w:name w:val="Heading 1 Char"/>
    <w:link w:val="712"/>
    <w:uiPriority w:val="9"/>
    <w:rPr>
      <w:rFonts w:ascii="Arial" w:hAnsi="Arial" w:eastAsia="Arial" w:cs="Arial"/>
      <w:sz w:val="40"/>
      <w:szCs w:val="40"/>
    </w:rPr>
  </w:style>
  <w:style w:type="paragraph" w:styleId="714">
    <w:name w:val="Heading 2"/>
    <w:basedOn w:val="890"/>
    <w:next w:val="890"/>
    <w:link w:val="7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5">
    <w:name w:val="Heading 2 Char"/>
    <w:link w:val="714"/>
    <w:uiPriority w:val="9"/>
    <w:rPr>
      <w:rFonts w:ascii="Arial" w:hAnsi="Arial" w:eastAsia="Arial" w:cs="Arial"/>
      <w:sz w:val="34"/>
    </w:rPr>
  </w:style>
  <w:style w:type="paragraph" w:styleId="716">
    <w:name w:val="Heading 3"/>
    <w:basedOn w:val="890"/>
    <w:next w:val="890"/>
    <w:link w:val="7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7">
    <w:name w:val="Heading 3 Char"/>
    <w:link w:val="716"/>
    <w:uiPriority w:val="9"/>
    <w:rPr>
      <w:rFonts w:ascii="Arial" w:hAnsi="Arial" w:eastAsia="Arial" w:cs="Arial"/>
      <w:sz w:val="30"/>
      <w:szCs w:val="30"/>
    </w:rPr>
  </w:style>
  <w:style w:type="paragraph" w:styleId="718">
    <w:name w:val="Heading 4"/>
    <w:basedOn w:val="890"/>
    <w:next w:val="890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9">
    <w:name w:val="Heading 4 Char"/>
    <w:link w:val="718"/>
    <w:uiPriority w:val="9"/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890"/>
    <w:next w:val="890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1">
    <w:name w:val="Heading 5 Char"/>
    <w:link w:val="720"/>
    <w:uiPriority w:val="9"/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basedOn w:val="890"/>
    <w:next w:val="890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3">
    <w:name w:val="Heading 6 Char"/>
    <w:link w:val="722"/>
    <w:uiPriority w:val="9"/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890"/>
    <w:next w:val="890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5">
    <w:name w:val="Heading 7 Char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6">
    <w:name w:val="Heading 8"/>
    <w:basedOn w:val="890"/>
    <w:next w:val="890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7">
    <w:name w:val="Heading 8 Char"/>
    <w:link w:val="726"/>
    <w:uiPriority w:val="9"/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890"/>
    <w:next w:val="890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>
    <w:name w:val="Heading 9 Char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List Paragraph"/>
    <w:basedOn w:val="890"/>
    <w:uiPriority w:val="34"/>
    <w:qFormat/>
    <w:pPr>
      <w:contextualSpacing/>
      <w:ind w:left="720"/>
    </w:pPr>
  </w:style>
  <w:style w:type="paragraph" w:styleId="731">
    <w:name w:val="No Spacing"/>
    <w:uiPriority w:val="1"/>
    <w:qFormat/>
    <w:pPr>
      <w:spacing w:before="0" w:after="0" w:line="240" w:lineRule="auto"/>
    </w:pPr>
  </w:style>
  <w:style w:type="paragraph" w:styleId="732">
    <w:name w:val="Title"/>
    <w:basedOn w:val="890"/>
    <w:next w:val="890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>
    <w:name w:val="Title Char"/>
    <w:link w:val="732"/>
    <w:uiPriority w:val="10"/>
    <w:rPr>
      <w:sz w:val="48"/>
      <w:szCs w:val="48"/>
    </w:rPr>
  </w:style>
  <w:style w:type="paragraph" w:styleId="734">
    <w:name w:val="Subtitle"/>
    <w:basedOn w:val="890"/>
    <w:next w:val="890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>
    <w:name w:val="Subtitle Char"/>
    <w:link w:val="734"/>
    <w:uiPriority w:val="11"/>
    <w:rPr>
      <w:sz w:val="24"/>
      <w:szCs w:val="24"/>
    </w:rPr>
  </w:style>
  <w:style w:type="paragraph" w:styleId="736">
    <w:name w:val="Quote"/>
    <w:basedOn w:val="890"/>
    <w:next w:val="890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890"/>
    <w:next w:val="890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paragraph" w:styleId="740">
    <w:name w:val="Header"/>
    <w:basedOn w:val="890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>
    <w:name w:val="Header Char"/>
    <w:link w:val="740"/>
    <w:uiPriority w:val="99"/>
  </w:style>
  <w:style w:type="paragraph" w:styleId="742">
    <w:name w:val="Footer"/>
    <w:basedOn w:val="890"/>
    <w:link w:val="7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>
    <w:name w:val="Footer Char"/>
    <w:link w:val="742"/>
    <w:uiPriority w:val="99"/>
  </w:style>
  <w:style w:type="paragraph" w:styleId="744">
    <w:name w:val="Caption"/>
    <w:basedOn w:val="890"/>
    <w:next w:val="890"/>
    <w:link w:val="7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5">
    <w:name w:val="Caption Char"/>
    <w:link w:val="744"/>
    <w:uiPriority w:val="35"/>
    <w:rPr>
      <w:b/>
      <w:bCs/>
      <w:color w:val="4f81bd" w:themeColor="accent1"/>
      <w:sz w:val="18"/>
      <w:szCs w:val="18"/>
    </w:rPr>
  </w:style>
  <w:style w:type="table" w:styleId="74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2">
    <w:name w:val="Hyperlink"/>
    <w:uiPriority w:val="99"/>
    <w:unhideWhenUsed/>
    <w:rPr>
      <w:color w:val="0000ff" w:themeColor="hyperlink"/>
      <w:u w:val="single"/>
    </w:rPr>
  </w:style>
  <w:style w:type="paragraph" w:styleId="873">
    <w:name w:val="footnote text"/>
    <w:basedOn w:val="890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>
    <w:name w:val="Footnote Text Char"/>
    <w:link w:val="873"/>
    <w:uiPriority w:val="99"/>
    <w:rPr>
      <w:sz w:val="18"/>
    </w:rPr>
  </w:style>
  <w:style w:type="character" w:styleId="875">
    <w:name w:val="footnote reference"/>
    <w:uiPriority w:val="99"/>
    <w:unhideWhenUsed/>
    <w:rPr>
      <w:vertAlign w:val="superscript"/>
    </w:rPr>
  </w:style>
  <w:style w:type="paragraph" w:styleId="876">
    <w:name w:val="endnote text"/>
    <w:basedOn w:val="890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uiPriority w:val="99"/>
    <w:semiHidden/>
    <w:unhideWhenUsed/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80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81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82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3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4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5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6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7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0"/>
    <w:next w:val="890"/>
    <w:uiPriority w:val="99"/>
    <w:unhideWhenUsed/>
    <w:pPr>
      <w:spacing w:after="0" w:afterAutospacing="0"/>
    </w:pPr>
  </w:style>
  <w:style w:type="paragraph" w:styleId="890" w:default="1">
    <w:name w:val="Normal"/>
    <w:next w:val="890"/>
    <w:link w:val="890"/>
    <w:qFormat/>
    <w:rPr>
      <w:sz w:val="24"/>
      <w:szCs w:val="24"/>
      <w:lang w:val="ru-RU" w:eastAsia="ru-RU" w:bidi="ar-SA"/>
    </w:rPr>
  </w:style>
  <w:style w:type="paragraph" w:styleId="891">
    <w:name w:val="Заголовок 1"/>
    <w:basedOn w:val="890"/>
    <w:next w:val="890"/>
    <w:link w:val="895"/>
    <w:uiPriority w:val="99"/>
    <w:qFormat/>
    <w:pPr>
      <w:jc w:val="center"/>
      <w:spacing w:before="108" w:after="108"/>
      <w:widowControl w:val="off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92">
    <w:name w:val="Основной шрифт абзаца"/>
    <w:next w:val="892"/>
    <w:link w:val="890"/>
    <w:uiPriority w:val="99"/>
    <w:semiHidden/>
  </w:style>
  <w:style w:type="table" w:styleId="893">
    <w:name w:val="Обычная таблица"/>
    <w:next w:val="893"/>
    <w:link w:val="890"/>
    <w:uiPriority w:val="99"/>
    <w:semiHidden/>
    <w:unhideWhenUsed/>
    <w:qFormat/>
    <w:tblPr/>
  </w:style>
  <w:style w:type="numbering" w:styleId="894">
    <w:name w:val="Нет списка"/>
    <w:next w:val="894"/>
    <w:link w:val="890"/>
    <w:uiPriority w:val="99"/>
    <w:semiHidden/>
    <w:unhideWhenUsed/>
  </w:style>
  <w:style w:type="character" w:styleId="895">
    <w:name w:val="Заголовок 1 Знак"/>
    <w:next w:val="895"/>
    <w:link w:val="891"/>
    <w:uiPriority w:val="99"/>
    <w:rPr>
      <w:rFonts w:ascii="Cambria" w:hAnsi="Cambria" w:cs="Cambria"/>
      <w:b/>
      <w:bCs/>
      <w:sz w:val="32"/>
      <w:szCs w:val="32"/>
    </w:rPr>
  </w:style>
  <w:style w:type="paragraph" w:styleId="896">
    <w:name w:val="ConsPlusNormal"/>
    <w:next w:val="896"/>
    <w:link w:val="931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97">
    <w:name w:val="Верхний колонтитул"/>
    <w:basedOn w:val="890"/>
    <w:next w:val="897"/>
    <w:link w:val="898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8">
    <w:name w:val="Верхний колонтитул Знак"/>
    <w:next w:val="898"/>
    <w:link w:val="897"/>
    <w:uiPriority w:val="99"/>
    <w:rPr>
      <w:rFonts w:cs="Times New Roman"/>
      <w:sz w:val="24"/>
      <w:szCs w:val="24"/>
    </w:rPr>
  </w:style>
  <w:style w:type="character" w:styleId="899">
    <w:name w:val="Номер страницы"/>
    <w:next w:val="899"/>
    <w:link w:val="890"/>
    <w:uiPriority w:val="99"/>
    <w:rPr>
      <w:rFonts w:cs="Times New Roman"/>
    </w:rPr>
  </w:style>
  <w:style w:type="paragraph" w:styleId="900">
    <w:name w:val="ConsPlusNonformat"/>
    <w:next w:val="900"/>
    <w:link w:val="890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901">
    <w:name w:val="Гипертекстовая ссылка"/>
    <w:next w:val="901"/>
    <w:link w:val="890"/>
    <w:uiPriority w:val="99"/>
    <w:rPr>
      <w:rFonts w:cs="Times New Roman"/>
      <w:color w:val="008000"/>
    </w:rPr>
  </w:style>
  <w:style w:type="paragraph" w:styleId="902">
    <w:name w:val="ConsNonformat"/>
    <w:next w:val="902"/>
    <w:link w:val="890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3">
    <w:name w:val="Таблицы (моноширинный)"/>
    <w:basedOn w:val="890"/>
    <w:next w:val="890"/>
    <w:link w:val="890"/>
    <w:uiPriority w:val="99"/>
    <w:pPr>
      <w:jc w:val="both"/>
      <w:widowControl w:val="off"/>
    </w:pPr>
    <w:rPr>
      <w:rFonts w:ascii="Courier New" w:hAnsi="Courier New" w:cs="Courier New"/>
    </w:rPr>
  </w:style>
  <w:style w:type="character" w:styleId="904">
    <w:name w:val="Цветовое выделение"/>
    <w:next w:val="904"/>
    <w:link w:val="890"/>
    <w:uiPriority w:val="99"/>
    <w:rPr>
      <w:b/>
      <w:color w:val="000080"/>
    </w:rPr>
  </w:style>
  <w:style w:type="table" w:styleId="905">
    <w:name w:val="Сетка таблицы"/>
    <w:basedOn w:val="893"/>
    <w:next w:val="905"/>
    <w:link w:val="890"/>
    <w:uiPriority w:val="99"/>
    <w:tblPr/>
  </w:style>
  <w:style w:type="paragraph" w:styleId="906">
    <w:name w:val="ConsNormal"/>
    <w:next w:val="906"/>
    <w:link w:val="890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7">
    <w:name w:val="Название"/>
    <w:basedOn w:val="890"/>
    <w:next w:val="907"/>
    <w:link w:val="908"/>
    <w:uiPriority w:val="99"/>
    <w:qFormat/>
    <w:pPr>
      <w:jc w:val="center"/>
      <w:tabs>
        <w:tab w:val="left" w:pos="720" w:leader="none"/>
      </w:tabs>
    </w:pPr>
    <w:rPr>
      <w:lang w:val="en-US" w:eastAsia="en-US"/>
    </w:rPr>
  </w:style>
  <w:style w:type="character" w:styleId="908">
    <w:name w:val="Название Знак"/>
    <w:next w:val="908"/>
    <w:link w:val="907"/>
    <w:uiPriority w:val="99"/>
    <w:rPr>
      <w:rFonts w:cs="Times New Roman"/>
      <w:sz w:val="24"/>
      <w:szCs w:val="24"/>
    </w:rPr>
  </w:style>
  <w:style w:type="paragraph" w:styleId="909">
    <w:name w:val="Текст концевой сноски"/>
    <w:basedOn w:val="890"/>
    <w:next w:val="909"/>
    <w:link w:val="910"/>
    <w:uiPriority w:val="99"/>
    <w:semiHidden/>
    <w:rPr>
      <w:sz w:val="20"/>
      <w:szCs w:val="20"/>
      <w:lang w:val="en-US" w:eastAsia="en-US"/>
    </w:rPr>
  </w:style>
  <w:style w:type="character" w:styleId="910">
    <w:name w:val="Текст концевой сноски Знак"/>
    <w:next w:val="910"/>
    <w:link w:val="909"/>
    <w:uiPriority w:val="99"/>
    <w:rPr>
      <w:rFonts w:cs="Times New Roman"/>
    </w:rPr>
  </w:style>
  <w:style w:type="paragraph" w:styleId="911">
    <w:name w:val="Нижний колонтитул"/>
    <w:basedOn w:val="890"/>
    <w:next w:val="911"/>
    <w:link w:val="912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12">
    <w:name w:val="Нижний колонтитул Знак"/>
    <w:next w:val="912"/>
    <w:link w:val="911"/>
    <w:uiPriority w:val="99"/>
    <w:rPr>
      <w:rFonts w:cs="Times New Roman"/>
      <w:sz w:val="24"/>
      <w:szCs w:val="24"/>
    </w:rPr>
  </w:style>
  <w:style w:type="paragraph" w:styleId="913">
    <w:name w:val="ConsPlusCell"/>
    <w:next w:val="913"/>
    <w:link w:val="890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paragraph" w:styleId="914">
    <w:name w:val="Текст выноски"/>
    <w:basedOn w:val="890"/>
    <w:next w:val="914"/>
    <w:link w:val="915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15">
    <w:name w:val="Текст выноски Знак"/>
    <w:next w:val="915"/>
    <w:link w:val="914"/>
    <w:uiPriority w:val="99"/>
    <w:rPr>
      <w:rFonts w:ascii="Tahoma" w:hAnsi="Tahoma" w:cs="Tahoma"/>
      <w:sz w:val="16"/>
      <w:szCs w:val="16"/>
    </w:rPr>
  </w:style>
  <w:style w:type="paragraph" w:styleId="916">
    <w:name w:val="Знак Знак Знак"/>
    <w:basedOn w:val="890"/>
    <w:next w:val="916"/>
    <w:link w:val="89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17">
    <w:name w:val="Абзац списка"/>
    <w:basedOn w:val="890"/>
    <w:next w:val="917"/>
    <w:link w:val="890"/>
    <w:uiPriority w:val="34"/>
    <w:qFormat/>
    <w:pPr>
      <w:ind w:left="720"/>
      <w:spacing w:line="276" w:lineRule="auto"/>
    </w:pPr>
    <w:rPr>
      <w:sz w:val="28"/>
      <w:szCs w:val="28"/>
      <w:lang w:eastAsia="en-US"/>
    </w:rPr>
  </w:style>
  <w:style w:type="paragraph" w:styleId="918">
    <w:name w:val="Обычный (веб)"/>
    <w:basedOn w:val="890"/>
    <w:next w:val="918"/>
    <w:link w:val="890"/>
    <w:uiPriority w:val="99"/>
    <w:semiHidden/>
    <w:pPr>
      <w:spacing w:before="100" w:beforeAutospacing="1" w:after="100" w:afterAutospacing="1"/>
    </w:pPr>
    <w:rPr>
      <w:rFonts w:ascii="Calibri" w:hAnsi="Calibri" w:cs="Calibri"/>
    </w:rPr>
  </w:style>
  <w:style w:type="character" w:styleId="919">
    <w:name w:val="Строгий"/>
    <w:next w:val="919"/>
    <w:link w:val="890"/>
    <w:uiPriority w:val="99"/>
    <w:qFormat/>
    <w:rPr>
      <w:rFonts w:cs="Times New Roman"/>
      <w:b/>
      <w:bCs/>
    </w:rPr>
  </w:style>
  <w:style w:type="paragraph" w:styleId="920">
    <w:name w:val="Текст сноски"/>
    <w:basedOn w:val="890"/>
    <w:next w:val="920"/>
    <w:link w:val="921"/>
    <w:uiPriority w:val="99"/>
    <w:semiHidden/>
    <w:pPr>
      <w:spacing w:after="200" w:line="276" w:lineRule="auto"/>
    </w:pPr>
    <w:rPr>
      <w:rFonts w:ascii="Calibri" w:hAnsi="Calibri"/>
      <w:sz w:val="20"/>
      <w:szCs w:val="20"/>
      <w:lang w:val="en-US" w:eastAsia="en-US"/>
    </w:rPr>
  </w:style>
  <w:style w:type="character" w:styleId="921">
    <w:name w:val="Текст сноски Знак"/>
    <w:next w:val="921"/>
    <w:link w:val="920"/>
    <w:uiPriority w:val="99"/>
    <w:rPr>
      <w:rFonts w:ascii="Calibri" w:hAnsi="Calibri" w:cs="Calibri"/>
      <w:sz w:val="20"/>
      <w:szCs w:val="20"/>
      <w:lang w:val="en-US" w:eastAsia="en-US"/>
    </w:rPr>
  </w:style>
  <w:style w:type="character" w:styleId="922">
    <w:name w:val="Знак сноски"/>
    <w:next w:val="922"/>
    <w:link w:val="890"/>
    <w:uiPriority w:val="99"/>
    <w:semiHidden/>
    <w:rPr>
      <w:rFonts w:cs="Times New Roman"/>
      <w:vertAlign w:val="superscript"/>
    </w:rPr>
  </w:style>
  <w:style w:type="paragraph" w:styleId="923">
    <w:name w:val="Основной текст 2"/>
    <w:basedOn w:val="890"/>
    <w:next w:val="923"/>
    <w:link w:val="924"/>
    <w:uiPriority w:val="99"/>
    <w:pPr>
      <w:spacing w:after="120" w:line="480" w:lineRule="auto"/>
    </w:pPr>
    <w:rPr>
      <w:rFonts w:eastAsia="SimSun"/>
      <w:lang w:val="en-US" w:eastAsia="zh-CN"/>
    </w:rPr>
  </w:style>
  <w:style w:type="character" w:styleId="924">
    <w:name w:val="Основной текст 2 Знак"/>
    <w:next w:val="924"/>
    <w:link w:val="923"/>
    <w:uiPriority w:val="99"/>
    <w:rPr>
      <w:rFonts w:eastAsia="SimSun" w:cs="Times New Roman"/>
      <w:sz w:val="24"/>
      <w:szCs w:val="24"/>
      <w:lang w:val="en-US" w:eastAsia="zh-CN"/>
    </w:rPr>
  </w:style>
  <w:style w:type="character" w:styleId="925">
    <w:name w:val="Font Style12"/>
    <w:next w:val="925"/>
    <w:link w:val="890"/>
    <w:rPr>
      <w:rFonts w:ascii="Times New Roman" w:hAnsi="Times New Roman"/>
      <w:sz w:val="26"/>
    </w:rPr>
  </w:style>
  <w:style w:type="paragraph" w:styleId="926">
    <w:name w:val="Default"/>
    <w:next w:val="926"/>
    <w:link w:val="890"/>
    <w:rPr>
      <w:color w:val="000000"/>
      <w:sz w:val="24"/>
      <w:szCs w:val="24"/>
      <w:lang w:val="ru-RU" w:eastAsia="ru-RU" w:bidi="ar-SA"/>
    </w:rPr>
  </w:style>
  <w:style w:type="paragraph" w:styleId="927">
    <w:name w:val="Знак Знак Знак1"/>
    <w:basedOn w:val="890"/>
    <w:next w:val="927"/>
    <w:link w:val="89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28">
    <w:name w:val="Знак Знак Знак4"/>
    <w:basedOn w:val="890"/>
    <w:next w:val="928"/>
    <w:link w:val="89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29">
    <w:name w:val="Font Style26"/>
    <w:next w:val="929"/>
    <w:link w:val="890"/>
    <w:uiPriority w:val="99"/>
    <w:rPr>
      <w:rFonts w:ascii="Arial" w:hAnsi="Arial" w:cs="Arial"/>
      <w:sz w:val="24"/>
      <w:szCs w:val="24"/>
    </w:rPr>
  </w:style>
  <w:style w:type="paragraph" w:styleId="930">
    <w:name w:val="ConsPlusTitle"/>
    <w:next w:val="930"/>
    <w:link w:val="890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character" w:styleId="931">
    <w:name w:val="ConsPlusNormal Знак"/>
    <w:next w:val="931"/>
    <w:link w:val="896"/>
    <w:rPr>
      <w:rFonts w:ascii="Arial" w:hAnsi="Arial" w:cs="Arial"/>
      <w:lang w:val="ru-RU" w:eastAsia="ru-RU" w:bidi="ar-SA"/>
    </w:rPr>
  </w:style>
  <w:style w:type="character" w:styleId="932">
    <w:name w:val="Гиперссылка"/>
    <w:next w:val="932"/>
    <w:link w:val="890"/>
    <w:uiPriority w:val="99"/>
    <w:unhideWhenUsed/>
    <w:rPr>
      <w:color w:val="0000ff"/>
      <w:u w:val="single"/>
    </w:rPr>
  </w:style>
  <w:style w:type="character" w:styleId="933">
    <w:name w:val="Знак примечания"/>
    <w:next w:val="933"/>
    <w:link w:val="890"/>
    <w:uiPriority w:val="99"/>
    <w:rPr>
      <w:sz w:val="16"/>
      <w:szCs w:val="16"/>
    </w:rPr>
  </w:style>
  <w:style w:type="paragraph" w:styleId="934">
    <w:name w:val="Текст примечания"/>
    <w:basedOn w:val="890"/>
    <w:next w:val="934"/>
    <w:link w:val="935"/>
    <w:uiPriority w:val="99"/>
    <w:rPr>
      <w:sz w:val="20"/>
      <w:szCs w:val="20"/>
    </w:rPr>
  </w:style>
  <w:style w:type="character" w:styleId="935">
    <w:name w:val="Текст примечания Знак"/>
    <w:basedOn w:val="892"/>
    <w:next w:val="935"/>
    <w:link w:val="934"/>
    <w:uiPriority w:val="99"/>
  </w:style>
  <w:style w:type="paragraph" w:styleId="936">
    <w:name w:val="Тема примечания"/>
    <w:basedOn w:val="934"/>
    <w:next w:val="934"/>
    <w:link w:val="937"/>
    <w:uiPriority w:val="99"/>
    <w:rPr>
      <w:b/>
      <w:bCs/>
      <w:lang w:val="en-US" w:eastAsia="en-US"/>
    </w:rPr>
  </w:style>
  <w:style w:type="character" w:styleId="937">
    <w:name w:val="Тема примечания Знак"/>
    <w:next w:val="937"/>
    <w:link w:val="936"/>
    <w:uiPriority w:val="99"/>
    <w:rPr>
      <w:b/>
      <w:bCs/>
    </w:rPr>
  </w:style>
  <w:style w:type="character" w:styleId="938" w:default="1">
    <w:name w:val="Default Paragraph Font"/>
    <w:uiPriority w:val="1"/>
    <w:semiHidden/>
    <w:unhideWhenUsed/>
  </w:style>
  <w:style w:type="numbering" w:styleId="939" w:default="1">
    <w:name w:val="No List"/>
    <w:uiPriority w:val="99"/>
    <w:semiHidden/>
    <w:unhideWhenUsed/>
  </w:style>
  <w:style w:type="table" w:styleId="94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Минэкономразвития Забайкальского края</Company>
  <DocSecurity>4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и условия предоставления инновационному проекту статуса приоритетного инновационного проекта Забайкальского края</dc:title>
  <dc:creator>User</dc:creator>
  <cp:lastModifiedBy>rea</cp:lastModifiedBy>
  <cp:revision>6</cp:revision>
  <dcterms:created xsi:type="dcterms:W3CDTF">2023-05-19T07:31:00Z</dcterms:created>
  <dcterms:modified xsi:type="dcterms:W3CDTF">2025-07-22T23:43:47Z</dcterms:modified>
  <cp:version>786432</cp:version>
</cp:coreProperties>
</file>