
<file path=[Content_Types].xml><?xml version="1.0" encoding="utf-8"?>
<Types xmlns="http://schemas.openxmlformats.org/package/2006/content-types">
  <Default Extension="jpg" ContentType="image/jpeg"/>
  <Default Extension="xlsx" ContentType="application/vnd.openxmlformats-officedocument.spreadsheetml.sheet"/>
  <Default Extension="emf" ContentType="image/x-emf"/>
  <Default Extension="xml" ContentType="application/xml"/>
  <Default Extension="wmf" ContentType="image/x-wmf"/>
  <Default Extension="png" ContentType="image/png"/>
  <Default Extension="jpeg" ContentType="image/jpeg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endnotes.xml" ContentType="application/vnd.openxmlformats-officedocument.wordprocessingml.end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bookmarkStart w:id="0" w:name="OLE_LINK4"/>
      <w:bookmarkStart w:id="1" w:name="_Toc90431444"/>
      <w:bookmarkStart w:id="2" w:name="_Toc90468276"/>
      <w:bookmarkStart w:id="3" w:name="_Toc91132556"/>
      <w:r>
        <w:rPr>
          <w:rFonts w:ascii="Times New Roman" w:hAnsi="Times New Roman" w:cs="Times New Roman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00100" cy="885825"/>
                <wp:effectExtent l="1905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800100" cy="88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63.00pt;height:69.75pt;mso-wrap-distance-left:0.00pt;mso-wrap-distance-top:0.00pt;mso-wrap-distance-right:0.00pt;mso-wrap-distance-bottom:0.00pt;" stroked="f" strokeweight="0.75pt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  <w:r>
        <w:rPr>
          <w:rFonts w:ascii="Times New Roman" w:hAnsi="Times New Roman" w:cs="Times New Roman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1"/>
          <w:sz w:val="2"/>
          <w:szCs w:val="2"/>
        </w:rPr>
      </w:pP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1"/>
          <w:sz w:val="2"/>
          <w:szCs w:val="2"/>
        </w:rPr>
      </w:pPr>
      <w:r>
        <w:rPr>
          <w:rFonts w:ascii="Times New Roman" w:hAnsi="Times New Roman" w:cs="Times New Roman"/>
          <w:b/>
          <w:spacing w:val="-11"/>
          <w:sz w:val="33"/>
          <w:szCs w:val="33"/>
        </w:rPr>
        <w:t xml:space="preserve">ПРАВИТЕЛЬСТВО ЗАБАЙКАЛЬСКОГО КРАЯ</w:t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1"/>
          <w:sz w:val="2"/>
          <w:szCs w:val="2"/>
        </w:rPr>
      </w:pP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1"/>
          <w:sz w:val="2"/>
          <w:szCs w:val="2"/>
        </w:rPr>
      </w:pP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1"/>
          <w:sz w:val="2"/>
          <w:szCs w:val="2"/>
        </w:rPr>
      </w:pP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1"/>
          <w:sz w:val="2"/>
          <w:szCs w:val="2"/>
        </w:rPr>
      </w:pP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  <w:r>
        <w:rPr>
          <w:rFonts w:ascii="Times New Roman" w:hAnsi="Times New Roman" w:cs="Times New Roman"/>
          <w:b/>
          <w:spacing w:val="-11"/>
          <w:sz w:val="2"/>
          <w:szCs w:val="2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-14"/>
        </w:rPr>
      </w:pPr>
      <w:r>
        <w:rPr>
          <w:rFonts w:ascii="Times New Roman" w:hAnsi="Times New Roman" w:cs="Times New Roman"/>
          <w:bCs/>
          <w:spacing w:val="-14"/>
          <w:sz w:val="35"/>
          <w:szCs w:val="35"/>
        </w:rPr>
        <w:t xml:space="preserve">ПОСТАНОВЛЕНИЕ</w:t>
      </w:r>
      <w:r>
        <w:rPr>
          <w:rFonts w:ascii="Times New Roman" w:hAnsi="Times New Roman" w:cs="Times New Roman"/>
          <w:bCs/>
          <w:spacing w:val="-14"/>
        </w:rPr>
      </w:r>
      <w:r>
        <w:rPr>
          <w:rFonts w:ascii="Times New Roman" w:hAnsi="Times New Roman" w:cs="Times New Roman"/>
          <w:bCs/>
          <w:spacing w:val="-14"/>
        </w:rPr>
      </w:r>
    </w:p>
    <w:p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pacing w:val="-14"/>
          <w:sz w:val="6"/>
          <w:szCs w:val="6"/>
          <w:highlight w:val="red"/>
        </w:rPr>
      </w:pPr>
      <w:r>
        <w:rPr>
          <w:rFonts w:ascii="Times New Roman" w:hAnsi="Times New Roman" w:cs="Times New Roman"/>
          <w:bCs/>
          <w:spacing w:val="-6"/>
          <w:sz w:val="35"/>
          <w:szCs w:val="35"/>
        </w:rPr>
        <w:t xml:space="preserve">г. Чита</w:t>
      </w:r>
      <w:bookmarkEnd w:id="0"/>
      <w:r>
        <w:rPr>
          <w:rFonts w:ascii="Times New Roman" w:hAnsi="Times New Roman" w:cs="Times New Roman"/>
          <w:bCs/>
          <w:spacing w:val="-14"/>
          <w:sz w:val="6"/>
          <w:szCs w:val="6"/>
          <w:highlight w:val="red"/>
        </w:rPr>
      </w:r>
      <w:r>
        <w:rPr>
          <w:rFonts w:ascii="Times New Roman" w:hAnsi="Times New Roman" w:cs="Times New Roman"/>
          <w:bCs/>
          <w:spacing w:val="-14"/>
          <w:sz w:val="6"/>
          <w:szCs w:val="6"/>
          <w:highlight w:val="red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2"/>
          <w:szCs w:val="2"/>
          <w:highlight w:val="red"/>
        </w:rPr>
      </w:pP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2"/>
          <w:szCs w:val="2"/>
          <w:highlight w:val="red"/>
        </w:rPr>
      </w:pP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eastAsia="Times New Roman" w:cs="Times New Roman"/>
          <w:sz w:val="2"/>
          <w:szCs w:val="2"/>
          <w:highlight w:val="red"/>
        </w:rPr>
      </w:pP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  <w:r>
        <w:rPr>
          <w:rFonts w:ascii="Times New Roman" w:hAnsi="Times New Roman" w:eastAsia="Times New Roman" w:cs="Times New Roman"/>
          <w:sz w:val="2"/>
          <w:szCs w:val="2"/>
          <w:highlight w:val="red"/>
        </w:rPr>
      </w:r>
    </w:p>
    <w:p>
      <w:pPr>
        <w:spacing w:before="219" w:after="0" w:line="240" w:lineRule="auto"/>
        <w:ind w:right="-1"/>
        <w:jc w:val="center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  <w:t xml:space="preserve">О внесении изменений в Стратегию социально-экономического развития Забайкальского края до 2035 года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b/>
          <w:bCs/>
          <w:sz w:val="30"/>
          <w:szCs w:val="30"/>
        </w:rPr>
      </w:pPr>
      <w:r>
        <w:rPr>
          <w:rFonts w:ascii="Times New Roman" w:hAnsi="Times New Roman" w:eastAsia="Calibri" w:cs="Times New Roman"/>
          <w:b/>
          <w:bCs/>
          <w:sz w:val="30"/>
          <w:szCs w:val="30"/>
        </w:rPr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</w:r>
      <w:r>
        <w:rPr>
          <w:rFonts w:ascii="Times New Roman" w:hAnsi="Times New Roman" w:eastAsia="Calibri" w:cs="Times New Roman"/>
          <w:b/>
          <w:bCs/>
          <w:sz w:val="30"/>
          <w:szCs w:val="30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В</w:t>
      </w:r>
      <w:r>
        <w:rPr>
          <w:rFonts w:ascii="Times New Roman" w:hAnsi="Times New Roman" w:eastAsia="Calibri" w:cs="Times New Roman"/>
          <w:spacing w:val="6"/>
          <w:sz w:val="28"/>
          <w:szCs w:val="28"/>
          <w:lang w:eastAsia="en-US"/>
        </w:rPr>
        <w:t xml:space="preserve">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соответствии со статьей 8 Закона Забайкальского края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br/>
        <w:t xml:space="preserve">от 20 ноября 2015 года № 1253-ЗЗК «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О стратегическом планировании в Забайкальском крае» Правительство Забайкальского края </w:t>
      </w:r>
      <w:r>
        <w:rPr>
          <w:rFonts w:ascii="Times New Roman" w:hAnsi="Times New Roman" w:eastAsia="Calibri" w:cs="Times New Roman"/>
          <w:b/>
          <w:bCs/>
          <w:spacing w:val="40"/>
          <w:sz w:val="28"/>
          <w:szCs w:val="28"/>
          <w:lang w:eastAsia="en-US"/>
        </w:rPr>
        <w:t xml:space="preserve">постановляет</w:t>
      </w:r>
      <w:r>
        <w:rPr>
          <w:rFonts w:ascii="Times New Roman" w:hAnsi="Times New Roman" w:eastAsia="Calibri" w:cs="Times New Roman"/>
          <w:spacing w:val="40"/>
          <w:sz w:val="28"/>
          <w:szCs w:val="28"/>
          <w:lang w:eastAsia="en-US"/>
        </w:rPr>
        <w:t xml:space="preserve">: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0"/>
          <w:szCs w:val="20"/>
          <w:lang w:eastAsia="en-US"/>
        </w:rPr>
      </w:pPr>
      <w:r>
        <w:rPr>
          <w:rFonts w:ascii="Times New Roman" w:hAnsi="Times New Roman" w:eastAsia="Calibri" w:cs="Times New Roman"/>
          <w:sz w:val="20"/>
          <w:szCs w:val="20"/>
          <w:lang w:eastAsia="en-US"/>
        </w:rPr>
      </w:r>
      <w:r>
        <w:rPr>
          <w:rFonts w:ascii="Times New Roman" w:hAnsi="Times New Roman" w:eastAsia="Calibri" w:cs="Times New Roman"/>
          <w:sz w:val="20"/>
          <w:szCs w:val="20"/>
          <w:lang w:eastAsia="en-US"/>
        </w:rPr>
      </w:r>
      <w:r>
        <w:rPr>
          <w:rFonts w:ascii="Times New Roman" w:hAnsi="Times New Roman" w:eastAsia="Calibri" w:cs="Times New Roman"/>
          <w:sz w:val="20"/>
          <w:szCs w:val="20"/>
          <w:lang w:eastAsia="en-US"/>
        </w:rPr>
      </w:r>
    </w:p>
    <w:p>
      <w:pPr>
        <w:spacing w:after="0" w:line="240" w:lineRule="auto"/>
        <w:ind w:firstLine="720"/>
        <w:jc w:val="both"/>
        <w:rPr>
          <w:rFonts w:ascii="Times New Roman" w:hAnsi="Times New Roman" w:eastAsia="Calibri" w:cs="Times New Roman"/>
        </w:rPr>
      </w:pPr>
      <w:r>
        <w:rPr>
          <w:rFonts w:ascii="Times New Roman" w:hAnsi="Times New Roman"/>
          <w:bCs/>
          <w:sz w:val="28"/>
          <w:szCs w:val="28"/>
        </w:rPr>
        <w:t xml:space="preserve">Утвердить прилагаемые изменения, которые вносятся</w:t>
      </w:r>
      <w:r>
        <w:rPr>
          <w:rFonts w:ascii="Times New Roman" w:hAnsi="Times New Roman"/>
          <w:sz w:val="28"/>
          <w:szCs w:val="28"/>
        </w:rPr>
        <w:t xml:space="preserve"> в Стратегию социально-экономического развития Забайкальского края до 2035 года, утвержденную постановлени</w:t>
      </w:r>
      <w:r>
        <w:rPr>
          <w:rFonts w:ascii="Times New Roman" w:hAnsi="Times New Roman"/>
          <w:sz w:val="28"/>
          <w:szCs w:val="28"/>
        </w:rPr>
        <w:t xml:space="preserve">ем Правительства Забайкальского края</w:t>
      </w:r>
      <w:r>
        <w:rPr>
          <w:rFonts w:ascii="Times New Roman" w:hAnsi="Times New Roman"/>
          <w:sz w:val="28"/>
          <w:szCs w:val="28"/>
        </w:rPr>
        <w:br/>
        <w:t xml:space="preserve">от 2 июня 2023 года № 272 (с изменениями, внесенными постановлениями Правительства Забайкальского края от 7 июня 2024 года № 277,</w:t>
      </w:r>
      <w:r>
        <w:rPr>
          <w:rFonts w:ascii="Times New Roman" w:hAnsi="Times New Roman"/>
          <w:sz w:val="28"/>
          <w:szCs w:val="28"/>
        </w:rPr>
        <w:br/>
        <w:t xml:space="preserve">от 6 февраля 2024 года № 32).</w:t>
      </w: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</w:p>
    <w:p>
      <w:pPr>
        <w:spacing w:after="0" w:line="240" w:lineRule="auto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</w:p>
    <w:p>
      <w:pPr>
        <w:spacing w:after="0" w:line="240" w:lineRule="auto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</w:p>
    <w:p>
      <w:pPr>
        <w:spacing w:after="0" w:line="240" w:lineRule="auto"/>
        <w:rPr>
          <w:rFonts w:ascii="Times New Roman" w:hAnsi="Times New Roman" w:eastAsia="Calibri" w:cs="Times New Roman"/>
        </w:rPr>
      </w:pP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  <w:r>
        <w:rPr>
          <w:rFonts w:ascii="Times New Roman" w:hAnsi="Times New Roman" w:eastAsia="Calibri" w:cs="Times New Roman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Первый заместитель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председателя Правительства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Забайкальс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кого края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  <w:t xml:space="preserve">         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  <w:t xml:space="preserve">         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ab/>
        <w:t xml:space="preserve">                                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А.И.Кефер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br w:type="page" w:clear="all"/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"/>
          <w:szCs w:val="2"/>
          <w:lang w:eastAsia="en-US"/>
        </w:rPr>
      </w:pPr>
      <w:r>
        <w:rPr>
          <w:rFonts w:ascii="Times New Roman" w:hAnsi="Times New Roman" w:eastAsia="Calibri" w:cs="Times New Roman"/>
          <w:sz w:val="2"/>
          <w:szCs w:val="2"/>
          <w:lang w:eastAsia="en-US"/>
        </w:rPr>
      </w:r>
      <w:r>
        <w:rPr>
          <w:rFonts w:ascii="Times New Roman" w:hAnsi="Times New Roman" w:eastAsia="Calibri" w:cs="Times New Roman"/>
          <w:sz w:val="2"/>
          <w:szCs w:val="2"/>
          <w:lang w:eastAsia="en-US"/>
        </w:rPr>
      </w:r>
      <w:r>
        <w:rPr>
          <w:rFonts w:ascii="Times New Roman" w:hAnsi="Times New Roman" w:eastAsia="Calibri" w:cs="Times New Roman"/>
          <w:sz w:val="2"/>
          <w:szCs w:val="2"/>
          <w:lang w:eastAsia="en-US"/>
        </w:rPr>
      </w:r>
    </w:p>
    <w:p>
      <w:pPr>
        <w:spacing w:after="0" w:line="360" w:lineRule="auto"/>
        <w:ind w:left="4956" w:firstLine="57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УТВЕРЖДЕНЫ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57"/>
        <w:spacing w:after="0" w:line="240" w:lineRule="auto"/>
        <w:ind w:left="4956" w:firstLine="573"/>
        <w:contextualSpacing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постановлением Правительства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tabs>
          <w:tab w:val="left" w:pos="5103" w:leader="none"/>
          <w:tab w:val="left" w:pos="5812" w:leader="none"/>
        </w:tabs>
        <w:spacing w:after="0" w:line="240" w:lineRule="auto"/>
        <w:ind w:left="4956" w:firstLine="57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Забайкальского края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5103" w:leader="none"/>
          <w:tab w:val="left" w:pos="5812" w:leader="none"/>
        </w:tabs>
        <w:spacing w:after="0" w:line="240" w:lineRule="auto"/>
        <w:ind w:left="4956" w:firstLine="57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                   года №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5103" w:leader="none"/>
          <w:tab w:val="left" w:pos="5812" w:leader="none"/>
        </w:tabs>
        <w:spacing w:after="0" w:line="240" w:lineRule="auto"/>
        <w:ind w:left="4956" w:firstLine="57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5103" w:leader="none"/>
          <w:tab w:val="left" w:pos="5812" w:leader="none"/>
        </w:tabs>
        <w:spacing w:after="0" w:line="240" w:lineRule="auto"/>
        <w:ind w:left="4956" w:firstLine="57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56"/>
        <w:tabs>
          <w:tab w:val="left" w:pos="1134" w:leader="none"/>
        </w:tabs>
        <w:spacing w:before="8" w:after="0" w:line="240" w:lineRule="auto"/>
        <w:ind w:left="0" w:right="116"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ИЗМЕНЕНИЯ, 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1156"/>
        <w:tabs>
          <w:tab w:val="left" w:pos="1134" w:leader="none"/>
        </w:tabs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которые вносятся в Стратегию социально-экономического развития Забайкальского края до 2035 года, утвержденную постановлением Правительства Забайкальского края </w:t>
      </w:r>
      <w:r>
        <w:rPr>
          <w:rFonts w:ascii="Times New Roman" w:hAnsi="Times New Roman"/>
          <w:b/>
          <w:bCs/>
          <w:sz w:val="28"/>
          <w:szCs w:val="28"/>
        </w:rPr>
        <w:br/>
        <w:t xml:space="preserve">от 2 июня 2023 года № 272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pStyle w:val="1156"/>
        <w:tabs>
          <w:tab w:val="left" w:pos="1134" w:leader="none"/>
        </w:tabs>
        <w:spacing w:before="8" w:after="0" w:line="240" w:lineRule="auto"/>
        <w:ind w:left="0" w:right="116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Внести в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Стратегию социально-экономического развития Забайкальского к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рая</w:t>
      </w:r>
      <w:r>
        <w:rPr>
          <w:rFonts w:ascii="Times New Roman" w:hAnsi="Times New Roman"/>
          <w:sz w:val="28"/>
          <w:szCs w:val="28"/>
        </w:rPr>
        <w:t xml:space="preserve"> до 2035 года, утвержденную указанным постановлением Правительства Забайкальского края, изменения, изложив ее в новой редакции.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__________________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br w:type="page" w:clear="all"/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45720" distB="45720" distL="114300" distR="114300" simplePos="0" relativeHeight="2516567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2877820" cy="1011555"/>
                <wp:effectExtent l="0" t="0" r="0" b="8255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011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057"/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УТВЕРЖДЕНА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105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постановлением Правительства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105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Забайкальского края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105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от 2 июня 2023 года № 272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  <w:p>
                            <w:pPr>
                              <w:pStyle w:val="1057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(в редакции постановления Правительства Забайкальского края от                           )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shape 1" o:spid="_x0000_s1" o:spt="202" type="#_x0000_t202" style="position:absolute;z-index:251656704;o:allowoverlap:true;o:allowincell:true;mso-position-horizontal-relative:margin;mso-position-horizontal:right;mso-position-vertical-relative:text;margin-top:0.00pt;mso-position-vertical:absolute;width:226.60pt;height:79.65pt;mso-wrap-distance-left:9.00pt;mso-wrap-distance-top:3.60pt;mso-wrap-distance-right:9.00pt;mso-wrap-distance-bottom:3.60pt;v-text-anchor:top;visibility:visible;" fillcolor="#FFFFFF" stroked="f" strokeweight="0.75pt">
                <w10:wrap type="square"/>
                <v:textbox inset="0,0,0,0">
                  <w:txbxContent>
                    <w:p>
                      <w:pPr>
                        <w:pStyle w:val="1057"/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УТВЕРЖДЕНА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105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постановлением Правительства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105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Забайкальского края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105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от 2 июня 2023 года № 272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  <w:p>
                      <w:pPr>
                        <w:pStyle w:val="1057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(в редакции постановления Правительства Забайкальского края от                           )</w:t>
                      </w:r>
                      <w:r>
                        <w:rPr>
                          <w:sz w:val="28"/>
                          <w:szCs w:val="28"/>
                        </w:rPr>
                      </w:r>
                      <w:r>
                        <w:rPr>
                          <w:sz w:val="28"/>
                          <w:szCs w:val="2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bookmarkStart w:id="4" w:name="_Hlk130567710"/>
      <w:r>
        <w:rPr>
          <w:rFonts w:ascii="Times New Roman" w:hAnsi="Times New Roman" w:cs="Times New Roman"/>
          <w:b/>
          <w:bCs/>
          <w:sz w:val="28"/>
          <w:szCs w:val="28"/>
        </w:rPr>
        <w:t xml:space="preserve">СТРАТЕГИЯ СОЦИАЛЬНО-ЭКОНОМИЧЕСКОГО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 xml:space="preserve">ЗАБАЙКАЛЬСКОГО КРАЯ ДО 2035 ГОДА</w:t>
      </w:r>
      <w:bookmarkEnd w:id="4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г. Чита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2025 год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line="240" w:lineRule="auto"/>
        <w:ind w:firstLine="284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СОДЕРЖАНИЕ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r>
        <w:rPr>
          <w:rStyle w:val="1037"/>
          <w:rFonts w:eastAsia="Arial"/>
        </w:rPr>
        <w:fldChar w:fldCharType="begin"/>
      </w:r>
      <w:r>
        <w:rPr>
          <w:rStyle w:val="1037"/>
          <w:rFonts w:eastAsia="Arial"/>
        </w:rPr>
        <w:instrText xml:space="preserve"> TOC \o "1-3" \h \z \u </w:instrText>
      </w:r>
      <w:r>
        <w:rPr>
          <w:rStyle w:val="1037"/>
          <w:rFonts w:eastAsia="Arial"/>
        </w:rPr>
        <w:fldChar w:fldCharType="separate"/>
      </w:r>
      <w:hyperlink w:tooltip="#_Toc204259655" w:anchor="_Toc204259655" w:history="1">
        <w:r>
          <w:rPr>
            <w:rStyle w:val="1037"/>
            <w:rFonts w:eastAsia="Arial"/>
          </w:rPr>
          <w:t xml:space="preserve">СПИСОК СОКРАЩЕНИЙ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_Toc204259655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5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56" w:anchor="_Toc204259656" w:history="1">
        <w:r>
          <w:rPr>
            <w:rStyle w:val="1037"/>
            <w:rFonts w:eastAsia="Arial"/>
          </w:rPr>
          <w:t xml:space="preserve">ОCНОВАНИЯ ФОРМ</w:t>
        </w:r>
        <w:r>
          <w:rPr>
            <w:rStyle w:val="1037"/>
            <w:rFonts w:eastAsia="Arial"/>
          </w:rPr>
          <w:t xml:space="preserve">ИРОВАНИЯ СТРАТЕГИИ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_Toc204259656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6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57" w:anchor="_Toc204259657" w:history="1">
        <w:r>
          <w:rPr>
            <w:rStyle w:val="1037"/>
            <w:rFonts w:eastAsia="Arial"/>
          </w:rPr>
          <w:t xml:space="preserve">1. СТРАТЕГИЧЕСКИЙ АНАЛИЗ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_Toc204259657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58" w:anchor="_Toc204259658" w:history="1">
        <w:r>
          <w:rPr>
            <w:rStyle w:val="1037"/>
            <w:rFonts w:eastAsia="Arial"/>
          </w:rPr>
          <w:t xml:space="preserve">1.1. Итоги социально-экономического развития в 2020-2024 годах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_Toc204259658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59" w:anchor="_Toc204259659" w:history="1">
        <w:r>
          <w:rPr>
            <w:rStyle w:val="1037"/>
            <w:rFonts w:eastAsia="Arial"/>
          </w:rPr>
          <w:t xml:space="preserve">1.2. Оценка достигнутых целей социально-экономического развития  в 2024 году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_Toc204259659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40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0" w:anchor="_Toc204259660" w:history="1">
        <w:r>
          <w:rPr>
            <w:rStyle w:val="1037"/>
            <w:rFonts w:eastAsia="Arial"/>
          </w:rPr>
          <w:t xml:space="preserve">1.3. Ключевые проблемы и конкурентные преимущества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_Toc204259660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42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1" w:anchor="_Toc204259661" w:history="1">
        <w:r>
          <w:rPr>
            <w:rStyle w:val="1037"/>
            <w:rFonts w:eastAsia="Arial"/>
          </w:rPr>
          <w:t xml:space="preserve">2. ЦЕЛИ И ПР</w:t>
        </w:r>
        <w:r>
          <w:rPr>
            <w:rStyle w:val="1037"/>
            <w:rFonts w:eastAsia="Arial"/>
          </w:rPr>
          <w:t xml:space="preserve">ИОРИТЕТЫ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_Toc204259661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46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2" w:anchor="_Toc204259662" w:history="1">
        <w:r>
          <w:rPr>
            <w:rStyle w:val="1037"/>
            <w:rFonts w:eastAsia="Arial"/>
          </w:rPr>
          <w:t xml:space="preserve">3. СЦЕНАРИИ СОЦИАЛЬНО-ЭКОНОМИЧЕСКОГО РАЗВИТИЯ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_Toc204259662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51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3" w:anchor="_Toc204259663" w:history="1">
        <w:r>
          <w:rPr>
            <w:rStyle w:val="1037"/>
            <w:rFonts w:eastAsia="Arial"/>
          </w:rPr>
          <w:t xml:space="preserve">4. РАЗВИТИЕ ЧЕЛОВЕЧЕСКОГО КАПИТАЛА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_Toc204259663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57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4" w:anchor="_Toc204259664" w:history="1">
        <w:r>
          <w:rPr>
            <w:rStyle w:val="1037"/>
            <w:rFonts w:eastAsia="Arial"/>
          </w:rPr>
          <w:t xml:space="preserve">4.1. Демографическое развитие. Социальная политика.  Рост благосостояния. Эффективная занятость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_Toc204259664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57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5" w:anchor="_Toc204259665" w:history="1">
        <w:r>
          <w:rPr>
            <w:rStyle w:val="1037"/>
            <w:rFonts w:eastAsia="Arial"/>
          </w:rPr>
          <w:t xml:space="preserve">4.2. Здравоохранение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_Toc204259665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59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6" w:anchor="_Toc204259666" w:history="1">
        <w:r>
          <w:rPr>
            <w:rStyle w:val="1037"/>
            <w:rFonts w:eastAsia="Arial"/>
          </w:rPr>
          <w:t xml:space="preserve">4.3. Образование и молодежная поли</w:t>
        </w:r>
        <w:r>
          <w:rPr>
            <w:rStyle w:val="1037"/>
            <w:rFonts w:eastAsia="Arial"/>
          </w:rPr>
          <w:t xml:space="preserve">тика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_Toc204259666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60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7" w:anchor="_Toc204259667" w:history="1">
        <w:r>
          <w:rPr>
            <w:rStyle w:val="1037"/>
            <w:rFonts w:eastAsia="Arial"/>
          </w:rPr>
          <w:t xml:space="preserve">4.4. Культура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_Toc204259667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64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8" w:anchor="_Toc204259668" w:history="1">
        <w:r>
          <w:rPr>
            <w:rStyle w:val="1037"/>
            <w:rFonts w:eastAsia="Arial"/>
          </w:rPr>
          <w:t xml:space="preserve">4.5. Физическая культура и спорт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_Toc204259668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67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69" w:anchor="_Toc204259669" w:history="1">
        <w:r>
          <w:rPr>
            <w:rStyle w:val="1037"/>
            <w:rFonts w:eastAsia="Arial"/>
          </w:rPr>
          <w:t xml:space="preserve">4.6. Обеспеч</w:t>
        </w:r>
        <w:r>
          <w:rPr>
            <w:rStyle w:val="1037"/>
            <w:rFonts w:eastAsia="Arial"/>
          </w:rPr>
          <w:t xml:space="preserve">ение безопасности жизнедеятельности населения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_Toc204259669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69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0" w:anchor="_Toc204259670" w:history="1">
        <w:r>
          <w:rPr>
            <w:rStyle w:val="1037"/>
            <w:rFonts w:eastAsia="Arial"/>
          </w:rPr>
          <w:t xml:space="preserve">4.7. Жилищное строительство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_Toc204259670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74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1" w:anchor="_Toc204259671" w:history="1">
        <w:r>
          <w:rPr>
            <w:rStyle w:val="1037"/>
            <w:rFonts w:eastAsia="Arial"/>
          </w:rPr>
          <w:t xml:space="preserve">5.1. Малое и среднее предпринимательство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_Toc204259671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77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2" w:anchor="_Toc204259672" w:history="1">
        <w:r>
          <w:rPr>
            <w:rStyle w:val="1037"/>
            <w:rFonts w:eastAsia="Arial"/>
          </w:rPr>
          <w:t xml:space="preserve">5.2. Рациональное природопользование и экологическая безопасность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_Toc204259672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79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3" w:anchor="_Toc204259673" w:history="1">
        <w:r>
          <w:rPr>
            <w:rStyle w:val="1037"/>
            <w:rFonts w:eastAsia="Arial"/>
          </w:rPr>
          <w:t xml:space="preserve">5.3. Горно-металлургический комплекс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_Toc204259673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81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4" w:anchor="_Toc204259674" w:history="1">
        <w:r>
          <w:rPr>
            <w:rStyle w:val="1037"/>
            <w:rFonts w:eastAsia="Arial"/>
          </w:rPr>
          <w:t xml:space="preserve">5.4. Развитие лесного комплекса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_Toc204259674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82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5" w:anchor="_Toc204259675" w:history="1">
        <w:r>
          <w:rPr>
            <w:rStyle w:val="1037"/>
            <w:rFonts w:eastAsia="Arial"/>
          </w:rPr>
          <w:t xml:space="preserve">5.5. Туризм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</w:instrText>
        </w:r>
        <w:r>
          <w:rPr>
            <w:rStyle w:val="1037"/>
            <w:rFonts w:eastAsia="Arial"/>
          </w:rPr>
          <w:instrText xml:space="preserve">04259675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84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6" w:anchor="_Toc204259676" w:history="1">
        <w:r>
          <w:rPr>
            <w:rStyle w:val="1037"/>
            <w:rFonts w:eastAsia="Arial"/>
          </w:rPr>
          <w:t xml:space="preserve">5.6. Агропромышленный комплекс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_Toc204259676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85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7" w:anchor="_Toc204259677" w:history="1">
        <w:r>
          <w:rPr>
            <w:rStyle w:val="1037"/>
            <w:rFonts w:eastAsia="Arial"/>
          </w:rPr>
          <w:t xml:space="preserve">5.7. Научно-технологическое развитие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_Toc204259677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86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8" w:anchor="_Toc204259678" w:history="1">
        <w:r>
          <w:rPr>
            <w:rStyle w:val="1037"/>
            <w:rFonts w:eastAsia="Arial"/>
          </w:rPr>
          <w:t xml:space="preserve">5.8. Внешн</w:t>
        </w:r>
        <w:r>
          <w:rPr>
            <w:rStyle w:val="1037"/>
            <w:rFonts w:eastAsia="Arial"/>
          </w:rPr>
          <w:t xml:space="preserve">еэкономическая деятельность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_Toc204259678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89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79" w:anchor="_Toc204259679" w:history="1">
        <w:r>
          <w:rPr>
            <w:rStyle w:val="1037"/>
            <w:rFonts w:eastAsia="Arial"/>
          </w:rPr>
          <w:t xml:space="preserve">6. СБАЛАНСИРОВАННОЕ ПРОСТРАНСТВЕННОЕ РАЗВИТИЕ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_Toc204259679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91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0" w:anchor="_Toc204259680" w:history="1">
        <w:r>
          <w:rPr>
            <w:rStyle w:val="1037"/>
            <w:rFonts w:eastAsia="Arial"/>
          </w:rPr>
          <w:t xml:space="preserve">6.1. Транспортная инфраструктура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_Toc204259680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94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1" w:anchor="_Toc204259681" w:history="1">
        <w:r>
          <w:rPr>
            <w:rStyle w:val="1037"/>
            <w:rFonts w:eastAsia="Arial"/>
          </w:rPr>
          <w:t xml:space="preserve">6.2. Энергетический комплекс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_Toc204259681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97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2" w:anchor="_Toc204259682" w:history="1">
        <w:r>
          <w:rPr>
            <w:rStyle w:val="1037"/>
            <w:rFonts w:eastAsia="Arial"/>
          </w:rPr>
          <w:t xml:space="preserve">6.3.1. Жилищно-коммунальное хозяйство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_Toc204259682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100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3" w:anchor="_Toc204259683" w:history="1">
        <w:r>
          <w:rPr>
            <w:rStyle w:val="1037"/>
            <w:rFonts w:eastAsia="Arial"/>
          </w:rPr>
          <w:t xml:space="preserve">6.3.2. Благоустройство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</w:instrText>
        </w:r>
        <w:r>
          <w:rPr>
            <w:rStyle w:val="1037"/>
            <w:rFonts w:eastAsia="Arial"/>
          </w:rPr>
          <w:instrText xml:space="preserve">REF _Toc204259683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103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4" w:anchor="_Toc204259684" w:history="1">
        <w:r>
          <w:rPr>
            <w:rStyle w:val="1037"/>
            <w:rFonts w:eastAsia="Arial"/>
          </w:rPr>
          <w:t xml:space="preserve">6.4. Цифровая трансформация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_Toc204259684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103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5" w:anchor="_Toc204259685" w:history="1">
        <w:r>
          <w:rPr>
            <w:rStyle w:val="1037"/>
            <w:rFonts w:eastAsia="Arial"/>
          </w:rPr>
          <w:t xml:space="preserve">6.5. Территориальная организация оказания услуг  отраслей социальной сферы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_Toc204259685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108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6" w:anchor="_Toc204259686" w:history="1">
        <w:r>
          <w:rPr>
            <w:rStyle w:val="1037"/>
            <w:rFonts w:eastAsia="Arial"/>
          </w:rPr>
          <w:t xml:space="preserve">6.6. Социально-экономическое развитие  Агинского Бурятского округа Забайкальского края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_Toc204259686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113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7" w:anchor="_Toc204259687" w:history="1">
        <w:r>
          <w:rPr>
            <w:rStyle w:val="1037"/>
            <w:rFonts w:eastAsia="Arial"/>
          </w:rPr>
          <w:t xml:space="preserve">7.1. Этапы реализации Стратегии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_Toc204259687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117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8" w:anchor="_Toc204259688" w:history="1">
        <w:r>
          <w:rPr>
            <w:rStyle w:val="1037"/>
            <w:rFonts w:eastAsia="Arial"/>
          </w:rPr>
          <w:t xml:space="preserve">7.2. Инструменты реализации Стратегии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_Toc204259688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117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89" w:anchor="_Toc204259689" w:history="1">
        <w:r>
          <w:rPr>
            <w:rStyle w:val="1037"/>
            <w:rFonts w:eastAsia="Arial"/>
          </w:rPr>
          <w:t xml:space="preserve">7.3. Финансирование мероприятий Стратегии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_Toc204259689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117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0" w:anchor="_Toc204259690" w:history="1">
        <w:r>
          <w:rPr>
            <w:rStyle w:val="1037"/>
            <w:rFonts w:eastAsia="Arial"/>
          </w:rPr>
          <w:t xml:space="preserve">7.4. Мониторин</w:t>
        </w:r>
        <w:r>
          <w:rPr>
            <w:rStyle w:val="1037"/>
            <w:rFonts w:eastAsia="Arial"/>
          </w:rPr>
          <w:t xml:space="preserve">г и оценка реализации Стратегии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_Toc204259690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118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1" w:anchor="_Toc204259691" w:history="1">
        <w:r>
          <w:rPr>
            <w:rStyle w:val="1037"/>
            <w:rFonts w:eastAsia="Arial"/>
          </w:rPr>
          <w:t xml:space="preserve">ПРИЛОЖЕНИЕ А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_Toc204259691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119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2" w:anchor="_Toc204259692" w:history="1">
        <w:r>
          <w:rPr>
            <w:rStyle w:val="1037"/>
            <w:rFonts w:eastAsia="Arial"/>
          </w:rPr>
          <w:t xml:space="preserve">ПРИЛОЖЕНИЕ В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_Toc204259692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121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3" w:anchor="_Toc204259693" w:history="1">
        <w:r>
          <w:rPr>
            <w:rStyle w:val="1037"/>
            <w:rFonts w:eastAsia="Arial"/>
          </w:rPr>
          <w:t xml:space="preserve">ПР</w:t>
        </w:r>
        <w:r>
          <w:rPr>
            <w:rStyle w:val="1037"/>
            <w:rFonts w:eastAsia="Arial"/>
          </w:rPr>
          <w:t xml:space="preserve">ИЛОЖЕНИЕ Г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_Toc204259693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122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4" w:anchor="_Toc204259694" w:history="1">
        <w:r>
          <w:rPr>
            <w:rStyle w:val="1037"/>
            <w:rFonts w:eastAsia="Arial"/>
          </w:rPr>
          <w:t xml:space="preserve">ПРИЛОЖЕНИЕ Д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_Toc204259694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124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5" w:anchor="_Toc204259695" w:history="1">
        <w:r>
          <w:rPr>
            <w:rStyle w:val="1037"/>
            <w:rFonts w:eastAsia="Arial"/>
          </w:rPr>
          <w:t xml:space="preserve">ПРИЛОЖЕНИЕ Е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_Toc204259695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125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6" w:anchor="_Toc204259696" w:history="1">
        <w:r>
          <w:rPr>
            <w:rStyle w:val="1037"/>
            <w:rFonts w:eastAsia="Arial"/>
          </w:rPr>
          <w:t xml:space="preserve">ПРИЛОЖЕНИЕ Ж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_Toc204259696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126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7" w:anchor="_Toc204259697" w:history="1">
        <w:r>
          <w:rPr>
            <w:rStyle w:val="1037"/>
            <w:rFonts w:eastAsia="Arial"/>
          </w:rPr>
          <w:t xml:space="preserve">ПРИЛОЖЕНИЕ И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_Toc204259697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127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8" w:anchor="_Toc204259698" w:history="1">
        <w:r>
          <w:rPr>
            <w:rStyle w:val="1037"/>
            <w:rFonts w:eastAsia="Arial"/>
          </w:rPr>
          <w:t xml:space="preserve">ПРИЛОЖЕНИЕ К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_Toc204259698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130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hyperlink w:tooltip="#_Toc204259699" w:anchor="_Toc204259699" w:history="1">
        <w:r>
          <w:rPr>
            <w:rStyle w:val="1037"/>
            <w:rFonts w:eastAsia="Arial"/>
          </w:rPr>
          <w:t xml:space="preserve">ПРИЛОЖЕНИЕ Л</w:t>
        </w:r>
        <w:r>
          <w:rPr>
            <w:rStyle w:val="1037"/>
            <w:rFonts w:eastAsia="Arial"/>
          </w:rPr>
          <w:tab/>
        </w:r>
        <w:r>
          <w:rPr>
            <w:rStyle w:val="1037"/>
            <w:rFonts w:eastAsia="Arial"/>
          </w:rPr>
          <w:fldChar w:fldCharType="begin"/>
        </w:r>
        <w:r>
          <w:rPr>
            <w:rStyle w:val="1037"/>
            <w:rFonts w:eastAsia="Arial"/>
          </w:rPr>
          <w:instrText xml:space="preserve"> PAGEREF _Toc204259699 \h </w:instrText>
        </w:r>
        <w:r>
          <w:rPr>
            <w:rStyle w:val="1037"/>
            <w:rFonts w:eastAsia="Arial"/>
          </w:rPr>
        </w:r>
        <w:r>
          <w:rPr>
            <w:rStyle w:val="1037"/>
            <w:rFonts w:eastAsia="Arial"/>
          </w:rPr>
          <w:fldChar w:fldCharType="separate"/>
        </w:r>
        <w:r>
          <w:rPr>
            <w:rStyle w:val="1037"/>
            <w:rFonts w:eastAsia="Arial"/>
          </w:rPr>
          <w:t xml:space="preserve">134</w:t>
        </w:r>
        <w:r>
          <w:rPr>
            <w:rStyle w:val="1037"/>
            <w:rFonts w:eastAsia="Arial"/>
          </w:rPr>
          <w:fldChar w:fldCharType="end"/>
        </w:r>
      </w:hyperlink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84"/>
        <w:spacing w:after="0"/>
        <w:ind w:left="0" w:firstLine="0"/>
        <w:jc w:val="both"/>
        <w:rPr>
          <w:rStyle w:val="1037"/>
          <w:rFonts w:eastAsia="Arial"/>
        </w:rPr>
      </w:pPr>
      <w:r>
        <w:rPr>
          <w:rStyle w:val="1037"/>
          <w:rFonts w:eastAsia="Arial"/>
        </w:rPr>
        <w:fldChar w:fldCharType="end"/>
      </w:r>
      <w:r>
        <w:rPr>
          <w:rStyle w:val="1037"/>
          <w:rFonts w:eastAsia="Arial"/>
        </w:rPr>
        <w:br w:type="page" w:clear="all"/>
      </w:r>
      <w:r>
        <w:rPr>
          <w:rStyle w:val="1037"/>
          <w:rFonts w:eastAsia="Arial"/>
        </w:rPr>
      </w:r>
      <w:r>
        <w:rPr>
          <w:rStyle w:val="1037"/>
          <w:rFonts w:eastAsia="Arial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  <w:highlight w:val="red"/>
        </w:rPr>
      </w:pPr>
      <w:bookmarkStart w:id="5" w:name="_Toc204259655"/>
      <w:r>
        <w:rPr>
          <w:rFonts w:ascii="Times New Roman" w:hAnsi="Times New Roman" w:cs="Times New Roman"/>
          <w:sz w:val="28"/>
          <w:szCs w:val="28"/>
        </w:rPr>
        <w:t xml:space="preserve">СПИСОК СОКРАЩЕНИЙ</w:t>
      </w:r>
      <w:bookmarkEnd w:id="5"/>
      <w:r>
        <w:rPr>
          <w:rFonts w:ascii="Times New Roman" w:hAnsi="Times New Roman" w:cs="Times New Roman"/>
          <w:sz w:val="28"/>
          <w:szCs w:val="28"/>
          <w:highlight w:val="red"/>
        </w:rPr>
      </w:r>
      <w:r>
        <w:rPr>
          <w:rFonts w:ascii="Times New Roman" w:hAnsi="Times New Roman" w:cs="Times New Roman"/>
          <w:sz w:val="28"/>
          <w:szCs w:val="28"/>
          <w:highlight w:val="red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БАМ – Байкало-Амурская </w:t>
      </w:r>
      <w:r>
        <w:rPr>
          <w:rFonts w:ascii="Times New Roman" w:hAnsi="Times New Roman" w:cs="Times New Roman"/>
          <w:sz w:val="28"/>
          <w:szCs w:val="28"/>
        </w:rPr>
        <w:t xml:space="preserve">железнодорожная магистраль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ВРП – валовой региональный продукт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ГВт – гигаватт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ГСМ – горюче-смазочные материалы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ДАПП – двусторонний автомобильный пункт пропуска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ДОУ – дошкольные образовательные учреждения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ЖДПП – железнодорожный пункт пропуска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ИЖС – индивидуальное жилищное строительство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КМНС – коренные малочисленные народы Севера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КНР – Китайская Народная Республика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КСР – коллективные средства размещения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КФХ – крестьянско-фермерское хозяйство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МАПП – многостор</w:t>
      </w:r>
      <w:r>
        <w:rPr>
          <w:rFonts w:ascii="Times New Roman" w:hAnsi="Times New Roman" w:cs="Times New Roman"/>
          <w:sz w:val="28"/>
          <w:szCs w:val="28"/>
        </w:rPr>
        <w:t xml:space="preserve">онний автомобильный пункт пропуска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МВт – мегаватт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tabs>
          <w:tab w:val="left" w:pos="8434" w:leader="none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МСП – малое и среднее предпринимательство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 – Новосибирский аффинажный завод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РНФ – Российский научный фонд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ФГБОУ ВО – Федеральное государственное бюджетное образовательное учреждение высшего образования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Национальная программа развития Дальнего Востока – </w:t>
      </w: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24 сентября 2020 года № 2464-р «Об утверждении Национальной программы социально-экономического развития Дальнего Востока на период до 2024 года и на персп</w:t>
      </w:r>
      <w:r>
        <w:rPr>
          <w:rFonts w:ascii="Times New Roman" w:hAnsi="Times New Roman"/>
          <w:sz w:val="28"/>
          <w:szCs w:val="28"/>
        </w:rPr>
        <w:t xml:space="preserve">ективу до 2035 года»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реализации Стратегии – План мероприятий по реализации Стратегии социально-экономического развития Забайкальского края на период до 2035 года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 – Стратегия социально-экономического развития Забайкальского края на период до </w:t>
      </w:r>
      <w:r>
        <w:rPr>
          <w:rFonts w:ascii="Times New Roman" w:hAnsi="Times New Roman" w:cs="Times New Roman"/>
          <w:sz w:val="28"/>
          <w:szCs w:val="28"/>
        </w:rPr>
        <w:t xml:space="preserve">2035 года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СХО – сельскохозяйственная организация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СЭС – солнечная электростанция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ТОР – территория опережающего развития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ТЭС – тепловая электростанция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Транссиб – Транссибирская железнодорожная магистраль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 № 309 – </w:t>
      </w: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7 мая 2024 года № 309 «О национальных целях развития Российской Федерации на период до 2030 года»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округ, макрорегион, ДФО – Дальневосточный федеральный округ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" w:name="_Toc204259656"/>
      <w:r>
        <w:rPr>
          <w:rFonts w:ascii="Times New Roman" w:hAnsi="Times New Roman" w:cs="Times New Roman"/>
          <w:b/>
          <w:bCs/>
          <w:sz w:val="28"/>
          <w:szCs w:val="28"/>
        </w:rPr>
        <w:t xml:space="preserve">О</w:t>
      </w:r>
      <w:bookmarkEnd w:id="1"/>
      <w:bookmarkEnd w:id="2"/>
      <w:bookmarkEnd w:id="3"/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C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НОВАНИЯ ФОРМИРОВАНИЯ СТРАТЕГИИ</w:t>
      </w:r>
      <w:bookmarkEnd w:id="6"/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социально-экономического развития Забайкальского края до 2035 года разработана с учетом ключевых целей развития, определенных на федеральном уровне, результатов исполнения стратегии социально-экономического развити</w:t>
      </w:r>
      <w:r>
        <w:rPr>
          <w:rFonts w:ascii="Times New Roman" w:hAnsi="Times New Roman" w:cs="Times New Roman"/>
          <w:sz w:val="28"/>
          <w:szCs w:val="28"/>
        </w:rPr>
        <w:t xml:space="preserve">я Забайкальского края до 2030 года</w:t>
      </w:r>
      <w:r>
        <w:rPr>
          <w:rStyle w:val="1036"/>
          <w:rFonts w:ascii="Times New Roman" w:hAnsi="Times New Roman" w:cs="Times New Roman"/>
          <w:sz w:val="28"/>
          <w:szCs w:val="28"/>
        </w:rPr>
        <w:footnoteReference w:id="2"/>
      </w:r>
      <w:r>
        <w:rPr>
          <w:rFonts w:ascii="Times New Roman" w:hAnsi="Times New Roman" w:cs="Times New Roman"/>
          <w:sz w:val="28"/>
          <w:szCs w:val="28"/>
        </w:rPr>
        <w:t xml:space="preserve"> по состоянию на 2021 год, новых вызовов, перспектив и возможностей развития региона.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7" w:name="_Toc90431448"/>
      <w:bookmarkStart w:id="8" w:name="_Toc90468280"/>
      <w:bookmarkStart w:id="9" w:name="_Toc91132560"/>
      <w:r>
        <w:rPr>
          <w:rFonts w:ascii="Times New Roman" w:hAnsi="Times New Roman" w:cs="Times New Roman"/>
          <w:sz w:val="28"/>
          <w:szCs w:val="28"/>
        </w:rPr>
        <w:t xml:space="preserve">Основными документами, положения которых учтены при формировании настоящей Стратегии, являются:</w:t>
      </w:r>
      <w:bookmarkEnd w:id="7"/>
      <w:bookmarkEnd w:id="8"/>
      <w:bookmarkEnd w:id="9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bookmarkStart w:id="10" w:name="_Toc90431449"/>
      <w:bookmarkStart w:id="11" w:name="_Toc90468281"/>
      <w:bookmarkStart w:id="12" w:name="_Toc91132561"/>
      <w:r>
        <w:rPr>
          <w:rFonts w:ascii="Times New Roman" w:hAnsi="Times New Roman"/>
          <w:sz w:val="28"/>
          <w:szCs w:val="28"/>
        </w:rPr>
        <w:t xml:space="preserve">Конституция Российской Федерации</w:t>
      </w:r>
      <w:bookmarkEnd w:id="10"/>
      <w:bookmarkEnd w:id="11"/>
      <w:bookmarkEnd w:id="12"/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3" w:name="_Toc91132563"/>
      <w:r>
        <w:rPr>
          <w:rFonts w:ascii="Times New Roman" w:hAnsi="Times New Roman"/>
          <w:sz w:val="28"/>
          <w:szCs w:val="28"/>
        </w:rPr>
        <w:t xml:space="preserve">Пос</w:t>
      </w:r>
      <w:r>
        <w:rPr>
          <w:rFonts w:ascii="Times New Roman" w:hAnsi="Times New Roman"/>
          <w:sz w:val="28"/>
          <w:szCs w:val="28"/>
        </w:rPr>
        <w:t xml:space="preserve">лание Президента Российской Федерации </w:t>
      </w:r>
      <w:r>
        <w:rPr>
          <w:rFonts w:ascii="Times New Roman" w:hAnsi="Times New Roman"/>
          <w:sz w:val="28"/>
          <w:szCs w:val="28"/>
          <w:shd w:val="clear" w:color="auto" w:fill="fdfdfd"/>
        </w:rPr>
        <w:t xml:space="preserve">Федеральному Собранию Российской Федерации </w:t>
      </w:r>
      <w:r>
        <w:rPr>
          <w:rFonts w:ascii="Times New Roman" w:hAnsi="Times New Roman"/>
          <w:sz w:val="28"/>
          <w:szCs w:val="28"/>
        </w:rPr>
        <w:t xml:space="preserve">от 29 февраля 2024 года;</w:t>
      </w:r>
      <w:bookmarkEnd w:id="13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4" w:name="_Toc90431451"/>
      <w:bookmarkStart w:id="15" w:name="_Toc90468283"/>
      <w:bookmarkStart w:id="16" w:name="_Toc91132569"/>
      <w:bookmarkStart w:id="17" w:name="_Toc91132582"/>
      <w:bookmarkStart w:id="18" w:name="_Toc91132565"/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19 декабря 2012 года № 1666 «О Стратегии государственной национальной политики Российской Федерации на период </w:t>
      </w:r>
      <w:r>
        <w:rPr>
          <w:rFonts w:ascii="Times New Roman" w:hAnsi="Times New Roman"/>
          <w:sz w:val="28"/>
          <w:szCs w:val="28"/>
        </w:rPr>
        <w:t xml:space="preserve">до 2025 года»;</w:t>
      </w:r>
      <w:bookmarkEnd w:id="14"/>
      <w:bookmarkEnd w:id="15"/>
      <w:bookmarkEnd w:id="16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28 февраля 2024 года № 145 «О Стратегии научно-технологического развития Российской Федерации»;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16 января 2017 года № 13 «Об утверждении Основ государственной по</w:t>
      </w:r>
      <w:r>
        <w:rPr>
          <w:rFonts w:ascii="Times New Roman" w:hAnsi="Times New Roman"/>
          <w:sz w:val="28"/>
          <w:szCs w:val="28"/>
        </w:rPr>
        <w:t xml:space="preserve">литики регионального развития Российской Федерации на период до 2025 года»;</w:t>
      </w:r>
      <w:bookmarkEnd w:id="17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19" w:name="_Toc91132576"/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9 мая 2017 года № 203 </w:t>
      </w:r>
      <w:r>
        <w:rPr>
          <w:rFonts w:ascii="Times New Roman" w:hAnsi="Times New Roman"/>
          <w:sz w:val="28"/>
          <w:szCs w:val="28"/>
        </w:rPr>
        <w:br/>
        <w:t xml:space="preserve">«О Стратегии развития информационного общества в Российской Федерации на 2017-2030 годы»;</w:t>
      </w:r>
      <w:bookmarkEnd w:id="19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0" w:name="_Toc91132575"/>
      <w:r>
        <w:rPr>
          <w:rFonts w:ascii="Times New Roman" w:hAnsi="Times New Roman"/>
          <w:sz w:val="28"/>
          <w:szCs w:val="28"/>
        </w:rPr>
        <w:t xml:space="preserve">Указ Президента Российской </w:t>
      </w:r>
      <w:r>
        <w:rPr>
          <w:rFonts w:ascii="Times New Roman" w:hAnsi="Times New Roman"/>
          <w:sz w:val="28"/>
          <w:szCs w:val="28"/>
        </w:rPr>
        <w:t xml:space="preserve">Федерации от 13 мая 2017 года № 208</w:t>
      </w:r>
      <w:r>
        <w:rPr>
          <w:rFonts w:ascii="Times New Roman" w:hAnsi="Times New Roman"/>
          <w:sz w:val="28"/>
          <w:szCs w:val="28"/>
        </w:rPr>
        <w:br/>
        <w:t xml:space="preserve"> «О Стратегии экономической безопасности Российской Федерации на период до 2030 года»;</w:t>
      </w:r>
      <w:bookmarkEnd w:id="20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7 мая 2018 года № 204 </w:t>
      </w:r>
      <w:r>
        <w:rPr>
          <w:rFonts w:ascii="Times New Roman" w:hAnsi="Times New Roman"/>
          <w:sz w:val="28"/>
          <w:szCs w:val="28"/>
        </w:rPr>
        <w:br/>
        <w:t xml:space="preserve">«О национальных целях и стратегических задачах развития Российской Фед</w:t>
      </w:r>
      <w:r>
        <w:rPr>
          <w:rFonts w:ascii="Times New Roman" w:hAnsi="Times New Roman"/>
          <w:sz w:val="28"/>
          <w:szCs w:val="28"/>
        </w:rPr>
        <w:t xml:space="preserve">ерации на период до 2024 года»;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1" w:name="_Toc91132583"/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21 января 2020 года № 20 «Об утверждении Доктрины продовольственной безопасности Российской Федерации»</w:t>
      </w:r>
      <w:bookmarkEnd w:id="21"/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7 мая 2024 года № 309 «О национальных ц</w:t>
      </w:r>
      <w:r>
        <w:rPr>
          <w:rFonts w:ascii="Times New Roman" w:hAnsi="Times New Roman"/>
          <w:sz w:val="28"/>
          <w:szCs w:val="28"/>
        </w:rPr>
        <w:t xml:space="preserve">елях развития Российской Федерации на период до 2030 года»;</w:t>
      </w:r>
      <w:bookmarkEnd w:id="18"/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2 июля 2021 года № 400 </w:t>
      </w:r>
      <w:r>
        <w:rPr>
          <w:rFonts w:ascii="Times New Roman" w:hAnsi="Times New Roman"/>
          <w:sz w:val="28"/>
          <w:szCs w:val="28"/>
        </w:rPr>
        <w:br/>
        <w:t xml:space="preserve">«О Стратегии национальной безопасности Российской Федерации»;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23 ноября 2020 года № 733 «Об </w:t>
      </w:r>
      <w:r>
        <w:rPr>
          <w:rFonts w:ascii="Times New Roman" w:hAnsi="Times New Roman"/>
          <w:sz w:val="28"/>
          <w:szCs w:val="28"/>
        </w:rPr>
        <w:t xml:space="preserve">утверждении Стратегии государственной антинаркотической политики Российской Федерации на период до 2030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2" w:name="_Toc90431453"/>
      <w:bookmarkStart w:id="23" w:name="_Toc90468285"/>
      <w:bookmarkStart w:id="24" w:name="_Toc91132571"/>
      <w:bookmarkStart w:id="25" w:name="_Toc90431452"/>
      <w:bookmarkStart w:id="26" w:name="_Toc90468284"/>
      <w:bookmarkStart w:id="27" w:name="_Toc91132570"/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28 декабря 2009 года № 2094-р «Об утверждении Стратегии социально-экономического </w:t>
      </w:r>
      <w:r>
        <w:rPr>
          <w:rFonts w:ascii="Times New Roman" w:hAnsi="Times New Roman"/>
          <w:sz w:val="28"/>
          <w:szCs w:val="28"/>
        </w:rPr>
        <w:t xml:space="preserve">развития Даль</w:t>
      </w:r>
      <w:r>
        <w:rPr>
          <w:rFonts w:ascii="Times New Roman" w:hAnsi="Times New Roman"/>
          <w:sz w:val="28"/>
          <w:szCs w:val="28"/>
        </w:rPr>
        <w:t xml:space="preserve">него Востока и Байкальского региона на период до 2025 года»;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 февраля 2015 года № 151-р «Об утверждении Стратегии устойчивого развития сельских территорий Российской Федерации на период до 2030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8" w:name="_Toc91132581"/>
      <w:bookmarkEnd w:id="22"/>
      <w:bookmarkEnd w:id="23"/>
      <w:bookmarkEnd w:id="24"/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28 октября 20</w:t>
      </w:r>
      <w:r>
        <w:rPr>
          <w:rFonts w:ascii="Times New Roman" w:hAnsi="Times New Roman"/>
          <w:sz w:val="28"/>
          <w:szCs w:val="28"/>
        </w:rPr>
        <w:t xml:space="preserve">15 года № 2193-р «Об утверждении Концепции развития приграничных территорий субъектов Российской Федерации, входящих в состав Дальневосточного федерального округа»</w:t>
      </w:r>
      <w:bookmarkEnd w:id="28"/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30 сентября 2018 года № 2101-р «Об утвер</w:t>
      </w:r>
      <w:r>
        <w:rPr>
          <w:rFonts w:ascii="Times New Roman" w:hAnsi="Times New Roman"/>
          <w:sz w:val="28"/>
          <w:szCs w:val="28"/>
        </w:rPr>
        <w:t xml:space="preserve">ждении комплексного плана модернизации и расширения магистральной инфраструктуры на период до 2024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28 декабря 2024 года № 4146-р «Об утверждении Стратегии пространственного развития Российской Федер</w:t>
      </w:r>
      <w:r>
        <w:rPr>
          <w:rFonts w:ascii="Times New Roman" w:hAnsi="Times New Roman"/>
          <w:sz w:val="28"/>
          <w:szCs w:val="28"/>
        </w:rPr>
        <w:t xml:space="preserve">ации на период до 2030 года с прогнозом до 2036 года»;</w:t>
      </w:r>
      <w:bookmarkEnd w:id="25"/>
      <w:bookmarkEnd w:id="26"/>
      <w:bookmarkEnd w:id="27"/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29" w:name="_Toc91132577"/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24 сентября 2020 года № 2464-р «Об утверждении Национальной программы социально-экономического развития Дальнего Востока на период до 2024 года и на </w:t>
      </w:r>
      <w:r>
        <w:rPr>
          <w:rFonts w:ascii="Times New Roman" w:hAnsi="Times New Roman"/>
          <w:sz w:val="28"/>
          <w:szCs w:val="28"/>
        </w:rPr>
        <w:t xml:space="preserve">перспективу до 2035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1 октября 2021 года № 2765-р «Единый план по достижению национальных целей развития Российской Федерации на период до 2024 года и на плановый период до 2030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</w:t>
      </w:r>
      <w:r>
        <w:rPr>
          <w:rFonts w:ascii="Times New Roman" w:hAnsi="Times New Roman"/>
          <w:sz w:val="28"/>
          <w:szCs w:val="28"/>
        </w:rPr>
        <w:t xml:space="preserve">равительства Российской Федерации от 27 ноября 2021 года № 3363-р «О Транспортной стратегии Российской Федерации до 2030 года с прогнозом на период до 2035 года»</w:t>
      </w:r>
      <w:bookmarkEnd w:id="29"/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18 августа 2021 года № 2282-р «Об утвержде</w:t>
      </w:r>
      <w:r>
        <w:rPr>
          <w:rFonts w:ascii="Times New Roman" w:hAnsi="Times New Roman"/>
          <w:sz w:val="28"/>
          <w:szCs w:val="28"/>
        </w:rPr>
        <w:t xml:space="preserve">нии Комплексной программы ускоренного социально-экономического развития Забайкальского края до 2025 года и на перспективу до 2035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от 8 сентября 2022 года № 2567-р «Об утверждении Стратегии развития агр</w:t>
      </w:r>
      <w:r>
        <w:rPr>
          <w:rFonts w:ascii="Times New Roman" w:hAnsi="Times New Roman" w:cs="Times New Roman"/>
          <w:sz w:val="28"/>
          <w:szCs w:val="28"/>
        </w:rPr>
        <w:t xml:space="preserve">опромышленного и рыбохозяйственного комплексов Российской Федерации на период до 2030 года».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Нормативно-правовой основой разработки Стратегии являются: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Федеральный закон от 28 июня 2014 года № 172-ФЗ «О стратегическом планировании в Российской Федерации»;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Указ Президента Российской Федерации от 8 ноября 2021 года № 633 «Об утверждении Основ государственной политики в сфере стратегического планирования в Российской Федерации»;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распоряжение Правительства </w:t>
      </w:r>
      <w:r>
        <w:rPr>
          <w:rFonts w:ascii="Times New Roman" w:hAnsi="Times New Roman"/>
          <w:sz w:val="28"/>
          <w:szCs w:val="28"/>
        </w:rPr>
        <w:t xml:space="preserve">Российской Федерации от 13 июня 2020 год № 1582-р «Об </w:t>
      </w:r>
      <w:r>
        <w:rPr>
          <w:rFonts w:ascii="Times New Roman" w:hAnsi="Times New Roman"/>
          <w:sz w:val="28"/>
          <w:szCs w:val="28"/>
        </w:rPr>
        <w:t xml:space="preserve">утверждении Программы развития угольной промышленности России на период до 2035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Закон Забайкальского края от 20 ноября 2015 года № 1253-ЗЗК «О стратегическом планировании в Забайкальском крае»;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4 ма</w:t>
      </w:r>
      <w:r>
        <w:rPr>
          <w:rFonts w:ascii="Times New Roman" w:hAnsi="Times New Roman"/>
          <w:sz w:val="28"/>
          <w:szCs w:val="28"/>
        </w:rPr>
        <w:t xml:space="preserve">рта</w:t>
      </w:r>
      <w:r>
        <w:rPr>
          <w:rFonts w:ascii="Times New Roman" w:hAnsi="Times New Roman"/>
          <w:sz w:val="28"/>
          <w:szCs w:val="28"/>
        </w:rPr>
        <w:br/>
        <w:t xml:space="preserve">2025 года № 500-р «План мероприятий по реализации Стратегии развития минерально-сырьевой базы Российской Федерации до 2050»;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распоряжение Правительства Российской Федерации от 15 марта</w:t>
      </w:r>
      <w:r>
        <w:rPr>
          <w:rFonts w:ascii="Times New Roman" w:hAnsi="Times New Roman"/>
          <w:sz w:val="28"/>
          <w:szCs w:val="28"/>
        </w:rPr>
        <w:br/>
        <w:t xml:space="preserve">2025 года № 615-р «Об утверждении Стратегии действий по реализации </w:t>
      </w:r>
      <w:r>
        <w:rPr>
          <w:rFonts w:ascii="Times New Roman" w:hAnsi="Times New Roman"/>
          <w:sz w:val="28"/>
          <w:szCs w:val="28"/>
        </w:rPr>
        <w:t xml:space="preserve">семейной и демографической политики, поддержке многодетности в Российской Федерации до 2036 года»;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приказ Минэкономразвития России от 23 марта 2017 года № 132 «Об утверждении Методических рекомендаций по разработке и корректировке стратегии социально-эконо</w:t>
      </w:r>
      <w:r>
        <w:rPr>
          <w:rFonts w:ascii="Times New Roman" w:hAnsi="Times New Roman"/>
          <w:sz w:val="28"/>
          <w:szCs w:val="28"/>
        </w:rPr>
        <w:t xml:space="preserve">мического развития субъекта Российской Федерации и плана мероприятий по ее реализации»;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государственные программы Забайкальского края (перечень государственных программ утвержден распоряжением Правительства Забайкальского края от 15 мая 2012 года №223-р)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 w:clear="all"/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30" w:name="_Toc204259657"/>
      <w:r>
        <w:rPr>
          <w:rFonts w:ascii="Times New Roman" w:hAnsi="Times New Roman" w:cs="Times New Roman"/>
          <w:b/>
          <w:bCs/>
          <w:sz w:val="28"/>
          <w:szCs w:val="28"/>
        </w:rPr>
        <w:t xml:space="preserve">1. СТРАТЕГИЧЕСКИЙ АНАЛИЗ</w:t>
      </w:r>
      <w:bookmarkEnd w:id="30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8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31" w:name="_Toc204259658"/>
      <w:r>
        <w:rPr>
          <w:rFonts w:ascii="Times New Roman" w:hAnsi="Times New Roman"/>
          <w:b/>
          <w:sz w:val="28"/>
          <w:szCs w:val="28"/>
        </w:rPr>
        <w:t xml:space="preserve">1.1. Итоги социально-экономического развития в 2020-2024 годах</w:t>
      </w:r>
      <w:bookmarkEnd w:id="31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Забайкальский край образован 1 марта 2008 года в результате объединения Читинской области и Агинского Бурятского автономного округа.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 2018 года Забайкальский край входил в состав Сибирского федерального округа. В соответствии с Указом Президента Российск</w:t>
      </w:r>
      <w:r>
        <w:rPr>
          <w:rFonts w:ascii="Times New Roman" w:hAnsi="Times New Roman" w:cs="Times New Roman"/>
          <w:sz w:val="28"/>
          <w:szCs w:val="28"/>
        </w:rPr>
        <w:t xml:space="preserve">ой Федерации от 3 ноября 2018 года № 632 «О внесении изменений в перечень федеральных округов, утвержденный Указом Президента Российской Федерации от 13 мая 2000 года № 849» Забайкальский край отнесен к Дальневосточному федеральному округу.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дол</w:t>
      </w:r>
      <w:r>
        <w:rPr>
          <w:rFonts w:ascii="Times New Roman" w:hAnsi="Times New Roman" w:cs="Times New Roman"/>
          <w:sz w:val="28"/>
          <w:szCs w:val="28"/>
        </w:rPr>
        <w:t xml:space="preserve">я Забайкальского края в показателях Дальневосточного федерального округа составляет: территория – 6,2 %, среднегодовая численность постоянного населения – 12,5 %, ВРП</w:t>
      </w:r>
      <w:r>
        <w:rPr>
          <w:rStyle w:val="1036"/>
          <w:rFonts w:ascii="Times New Roman" w:hAnsi="Times New Roman" w:cs="Times New Roman"/>
          <w:sz w:val="28"/>
          <w:szCs w:val="28"/>
        </w:rPr>
        <w:footnoteReference w:id="3"/>
      </w:r>
      <w:r>
        <w:rPr>
          <w:rFonts w:ascii="Times New Roman" w:hAnsi="Times New Roman" w:cs="Times New Roman"/>
          <w:sz w:val="28"/>
          <w:szCs w:val="28"/>
        </w:rPr>
        <w:t xml:space="preserve"> – 7,1 %, производство промышленной продукции</w:t>
      </w:r>
      <w:r>
        <w:rPr>
          <w:rStyle w:val="1036"/>
          <w:rFonts w:ascii="Times New Roman" w:hAnsi="Times New Roman" w:cs="Times New Roman"/>
          <w:sz w:val="28"/>
          <w:szCs w:val="28"/>
        </w:rPr>
        <w:footnoteReference w:id="4"/>
      </w:r>
      <w:r>
        <w:rPr>
          <w:rFonts w:ascii="Times New Roman" w:hAnsi="Times New Roman" w:cs="Times New Roman"/>
          <w:sz w:val="28"/>
          <w:szCs w:val="28"/>
        </w:rPr>
        <w:t xml:space="preserve"> – 7,7 %, производство продукции сельског</w:t>
      </w:r>
      <w:r>
        <w:rPr>
          <w:rFonts w:ascii="Times New Roman" w:hAnsi="Times New Roman" w:cs="Times New Roman"/>
          <w:sz w:val="28"/>
          <w:szCs w:val="28"/>
        </w:rPr>
        <w:t xml:space="preserve">о хозяйства – 8,6 %, объем инвестиций в основной капитал – 7,1 %.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Демографическая ситуация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</w:r>
      <w:r>
        <w:rPr>
          <w:rFonts w:ascii="Times New Roman" w:hAnsi="Times New Roman" w:cs="Times New Roman"/>
          <w:bCs/>
          <w:i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Среднегодовая численность населения края в 2024 году составила</w:t>
      </w:r>
      <w:r>
        <w:rPr>
          <w:rFonts w:ascii="Times New Roman" w:hAnsi="Times New Roman" w:cs="Times New Roman"/>
          <w:sz w:val="28"/>
          <w:szCs w:val="28"/>
        </w:rPr>
        <w:br/>
        <w:t xml:space="preserve">984,1 тыс. человек, снизившись по сравнению с данными за 2020 год на 72,5 тыс. человек (таблица 1).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159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</w:t>
      </w:r>
      <w:r>
        <w:rPr>
          <w:rFonts w:ascii="Times New Roman" w:hAnsi="Times New Roman" w:cs="Times New Roman"/>
          <w:sz w:val="28"/>
          <w:szCs w:val="28"/>
        </w:rPr>
        <w:t xml:space="preserve">новной причиной снижения населения является миграционная убыль – всего за 2020-2024 годы данный показатель составил 22 тыс. человек, также наблюдается естественная убыль – 16,3 тыс. человек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за период с 2020 по 2024 годы.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1. Основные демографические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показатели Забайкальского края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36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979"/>
        <w:gridCol w:w="1077"/>
        <w:gridCol w:w="1077"/>
        <w:gridCol w:w="1078"/>
        <w:gridCol w:w="1077"/>
        <w:gridCol w:w="1078"/>
      </w:tblGrid>
      <w:tr>
        <w:trPr>
          <w:trHeight w:val="680"/>
          <w:tblHeader/>
        </w:trPr>
        <w:tblPrEx/>
        <w:tc>
          <w:tcPr>
            <w:tcW w:w="3979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77" w:type="dxa"/>
            <w:noWrap w:val="false"/>
            <w:textDirection w:val="lrTb"/>
            <w:vAlign w:val="center"/>
          </w:tcPr>
          <w:p>
            <w:pPr>
              <w:spacing w:line="240" w:lineRule="auto"/>
              <w:ind w:right="83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2020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77" w:type="dxa"/>
            <w:noWrap w:val="false"/>
            <w:textDirection w:val="lrTb"/>
            <w:vAlign w:val="center"/>
          </w:tcPr>
          <w:p>
            <w:pPr>
              <w:spacing w:line="240" w:lineRule="auto"/>
              <w:ind w:right="93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2021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78" w:type="dxa"/>
            <w:noWrap w:val="false"/>
            <w:textDirection w:val="lrTb"/>
            <w:vAlign w:val="center"/>
          </w:tcPr>
          <w:p>
            <w:pPr>
              <w:spacing w:line="240" w:lineRule="auto"/>
              <w:ind w:right="97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2022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77" w:type="dxa"/>
            <w:noWrap w:val="false"/>
            <w:textDirection w:val="lrTb"/>
            <w:vAlign w:val="center"/>
          </w:tcPr>
          <w:p>
            <w:pPr>
              <w:spacing w:line="240" w:lineRule="auto"/>
              <w:ind w:right="83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2023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78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2024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Численность постоянного населения (среднегодовая), тыс. человек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1056,6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1027,0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996,5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ind w:right="83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988,4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984,1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Ожидаемая продолжительность жизни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лет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68,2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67,8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ind w:right="83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  <w:t xml:space="preserve">67,2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66,5*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Естественный прирост (+)/убыль (-) населения, тыс. человек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-2,0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-4,5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-2,6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-3,1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-4,1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Коэффициент естественного прироста, человек на 1000 населения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-1,9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-4,4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-2,6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-3,2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Коэффициент рождаемости, человек на 1000 населения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Коэффициент смертности, человек на 1000 населения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15,8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13,7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80"/>
        </w:trPr>
        <w:tblPrEx/>
        <w:tc>
          <w:tcPr>
            <w:tcW w:w="397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Миграционный прирост (+)/убыль (-) населения, тыс. человек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-5,5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-5,5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-4,9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widowControl w:val="off"/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  <w:t xml:space="preserve">*оценка</w:t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</w:r>
      <w:r>
        <w:rPr>
          <w:rFonts w:ascii="Times New Roman" w:hAnsi="Times New Roman" w:cs="Times New Roman"/>
          <w:i/>
          <w:iCs/>
          <w:sz w:val="28"/>
          <w:szCs w:val="28"/>
          <w:vertAlign w:val="superscript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Ожидаемая продолжительность жизни в Забайкальском крае сокращается. В 2024 году данный показатель составил 66,5 года, что ниже уровня по стране на 7 лет (73,5 года) и по федеральному округу (70,3</w:t>
      </w:r>
      <w:r>
        <w:rPr>
          <w:rStyle w:val="1036"/>
          <w:rFonts w:ascii="Times New Roman" w:hAnsi="Times New Roman" w:cs="Times New Roman"/>
          <w:sz w:val="28"/>
          <w:shd w:val="clear" w:color="auto" w:fill="ffffff"/>
        </w:rPr>
        <w:footnoteReference w:id="5"/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года) – на 3,8 года.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Коэффициент смертности населения сос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тавил 13,5 человек на 1000 населения по итогам 2024 года, за период с 2020 года высокий уровень показателя в 15,7 человек на 1000 населения наблюдался в 2021 году, что обусловлено распространением коронавирусной инфекции и перегруженностью системы здравоох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ранения в указанный год.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Основными причинами смертности жителей края, как и по стране в целом, являются заболевания системы кровообращения, онкологические заболевания и смертность от внешних причин (таблица 2).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2. Причины смертности жителей Забайка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льского края в 2023 году, количество человек на 100 тыс. населения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35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562"/>
        <w:gridCol w:w="2264"/>
        <w:gridCol w:w="2265"/>
        <w:gridCol w:w="2265"/>
      </w:tblGrid>
      <w:tr>
        <w:trPr>
          <w:trHeight w:val="796"/>
        </w:trPr>
        <w:tblPrEx/>
        <w:tc>
          <w:tcPr>
            <w:tcW w:w="2562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2264" w:type="dxa"/>
            <w:tcBorders>
              <w:bottom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Забайкальский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край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2265" w:type="dxa"/>
            <w:tcBorders>
              <w:bottom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Дальневосточный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федеральный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округ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2265" w:type="dxa"/>
            <w:tcBorders>
              <w:bottom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Российская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Федерация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2562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Болезни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системы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кровообращения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4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554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567,5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566,8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2562" w:type="dxa"/>
            <w:tcBorders>
              <w:bottom w:val="single" w:color="000000" w:sz="4" w:space="0"/>
            </w:tcBorders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Злокачественные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новообразования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4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181,6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191,6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2562" w:type="dxa"/>
            <w:tcBorders>
              <w:bottom w:val="none" w:color="000000" w:sz="4" w:space="0"/>
            </w:tcBorders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Внешние причины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в том числе: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2264" w:type="dxa"/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285,8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147,6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99,5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2562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убийство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4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2562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самоубийство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4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21,4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17,3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2562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отравление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алкоголем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264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2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widowControl w:val="off"/>
        <w:spacing w:before="240"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Несмотря на снижение, по-прежнем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 существенно превышают среднероссийский уровень краевые значения показателей по числу убийств – в 2,7 раза, суицидов – в 2,3 раза, смертей от отравления алкоголем – 1,5 раза. Смертность от транспортных несчастных случаев также заметно выше, чем по стране.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Отмечается негативная тенденция детской смертности.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Основными причинами детской смертности являются: перинатальная патология в первые 3 месяца жизни, рост доли недоношенных детей, в том числе детей, рожденных с экстремально низкой (999 грамм и менее) и оч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ень низкой (от 1 000 до 1 499 грамм) массой тела при рождении, врожденные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аномалии развития.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возрастной структуре детской смертности (0-17 лет) преобладает группа 0-1 год.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Структура причин смерти детей первого года жизни (младенческая смертность) остаетс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 стабильной: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1 месте – отдельные состояния, возникающие в перинатальном периоде: в 2023 году – 43,2 % (32 случая), в 2022 году – 55,7 % (34 случая), в 2021 году – 54,5% (48 случаев), в 2020 году - 46,9% (30 случаев), в 2019 году – 31,5%;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2 месте – врожденные аномалии развития: в 2023 году – 18,9 % (14 случаев), в 2022 году – 14,8 % (9 случаев), в 2021 году – 11,4% (10 случаев), в 2020 году – 12,5% (8 случаев), в 2019 году – 18,5%;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третьем – инфекционные заболевания: в 2023 году – 11,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5 % (7 случаев), в 2022 году – 14,9 % (11 случаев).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Уровень младенческой смертности составил в 2024 году 4,9 на 1000 детей первого года жизни; в 2023 году – 7,0; 2022 год – 57 случаев, показатель 5,8; 2021 год – 73 случая, показатель – 7,1.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Показатель детс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кой смертности составил в 2024 году – 63,2 на 100 тыс. детей 0-17 лет; в 2023 году – 65,0; в 2022 году – 56,7.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Структура причин детской смертности: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1 месте – отдельные состояния, возникающие в перинатальном периоде в 2023 году – 25,2 %  (32 случая);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2022 году – 28,3% (34 случая,); в 2021 году – 26,7% (48 случаев); в 2020 году – 19,6% (30 случаев);  в 2019 году – 18,6% (34 случая);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втором месте – внешние причины (травмы, отравления, несчастные случаи) – в 2023 году – 22,8 % (29 случаев), в 2022 году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– 25 % (30 случаев),  в 2021 году – 46,4% (71 случай), в 2020 году - 46,4% (71 случай); в 2019 году – 40,98% (75 случаев);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третьем месте – врожденные аномалии развития, в 2023 году – 16,5 % (21 случай), в 2021 году – 7,2% (13 случаев). 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Материнская см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ертность в 2024 году – 1 случай, показатель 10,0 на 100 тыс. рожденных живыми; 2023 год – 0; 2022 год – 3 случая, показатель 31,7; 2021 год – 3 случая, показатель – 30,0.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 w:eastAsiaTheme="minorEastAsia"/>
          <w:bCs/>
          <w:i/>
          <w:sz w:val="28"/>
          <w:szCs w:val="28"/>
        </w:rPr>
      </w:pPr>
      <w:r>
        <w:rPr>
          <w:rFonts w:ascii="Times New Roman" w:hAnsi="Times New Roman" w:cs="Times New Roman" w:eastAsiaTheme="minorEastAsia"/>
          <w:i/>
          <w:iCs/>
          <w:sz w:val="28"/>
          <w:szCs w:val="28"/>
        </w:rPr>
        <w:t xml:space="preserve">Здравоохранение</w:t>
      </w:r>
      <w:r>
        <w:rPr>
          <w:rFonts w:ascii="Times New Roman" w:hAnsi="Times New Roman" w:cs="Times New Roman" w:eastAsiaTheme="minorEastAsia"/>
          <w:bCs/>
          <w:i/>
          <w:sz w:val="28"/>
          <w:szCs w:val="28"/>
        </w:rPr>
      </w:r>
      <w:r>
        <w:rPr>
          <w:rFonts w:ascii="Times New Roman" w:hAnsi="Times New Roman" w:cs="Times New Roman" w:eastAsiaTheme="minorEastAsia"/>
          <w:bCs/>
          <w:i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 w:eastAsiaTheme="minorEastAsia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Важнейшими задачами системы здравоохранения являются повышение доступ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ности и качества медицинской помощи детскому и взрослому населению, снижение заболеваемости (в том числе детской), инвалидности и смертности.</w:t>
      </w:r>
      <w:r>
        <w:rPr>
          <w:rFonts w:ascii="Times New Roman" w:hAnsi="Times New Roman" w:cs="Times New Roman" w:eastAsiaTheme="minorEastAsia"/>
          <w:bCs/>
          <w:i/>
          <w:sz w:val="28"/>
          <w:szCs w:val="28"/>
        </w:rPr>
      </w:r>
      <w:r>
        <w:rPr>
          <w:rFonts w:ascii="Times New Roman" w:hAnsi="Times New Roman" w:cs="Times New Roman" w:eastAsiaTheme="minorEastAsia"/>
          <w:bCs/>
          <w:i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Сеть медицинских организаций и подразделений службы охраны здоровья матери и ребенка включает: детскую краевую больницу, детские поликлиники (самостоятельные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–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детский клинический медицинский центр), в том числе диагностическое отделение; детский санаторий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для лечения туберкулеза детей; родильный дом; перинатальный центр; 2 перинатальных отделения; 8 женских консультаций; 45 акушерско-гинекологических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кабинетов; отдел планирования семьи и репродукции в перинатальном центре; 3 медико-генетических консультаци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и; кабинет искусственной инсеминации женщин; 32 педиатрических кабинета; 14 подростковых отделения в поликлиниках, 7 детских поликлинических отделений в г. Чите и 1 стоматологическое отделение, 32 детских отделения в центральной районной больнице, 18 перед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вижных фельдшерско-акушерских пунктов.</w:t>
      </w:r>
      <w:r>
        <w:rPr>
          <w:rFonts w:ascii="Times New Roman" w:hAnsi="Times New Roman" w:cs="Times New Roman" w:eastAsiaTheme="minorEastAsia"/>
          <w:sz w:val="28"/>
          <w:szCs w:val="28"/>
        </w:rPr>
      </w:r>
      <w:r>
        <w:rPr>
          <w:rFonts w:ascii="Times New Roman" w:hAnsi="Times New Roman" w:cs="Times New Roman" w:eastAsiaTheme="minorEastAsia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Происходит качественное изменение подходов и форматов работы краевых медицинских организаций и центральных районных больниц - отработана маршрутизация новорожденных, детей, беременных рожениц и родильниц, организация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процесса оказания медицинской помощи в четком соответствии с клиническими рекомендациями. Усилена работа профилактического направления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диспансерное наблюдение, профилактические медицинские осмотры,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предгравидарная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подготовка семейных пар, усилена работа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 профильными НМИЦ, в том числе в формате ТМК. В рамках государственной программы Российской Федерации «Развитие здравоохранения» реализуются мероприятия по совершенствованию оказания медицинской помощи детям (в частности, расширенный неонатальный скрининг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и др.).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Данные мероприятия направлены на снижение показателей материнской и младенческой смертности.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Обеспеченность населения кадрами врачей в крае ниже, чем в Российской Федерации и макрорегионе. В 2021 году показатель по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  <w:t xml:space="preserve">краю составил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37,7 врачей на 1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0 тыс. населения; 2022 – 37,2; 2023 – 39,8;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  <w:t xml:space="preserve">2024 – 40,8.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итогам 2024 года в движении врачебных кадров в государственной отрасли здравоохранения Забайкальского края отмечается положительная динамика (+ 138 человек), а также впервые более чем за 10 лет по</w:t>
      </w:r>
      <w:r>
        <w:rPr>
          <w:rFonts w:ascii="Times New Roman" w:hAnsi="Times New Roman"/>
          <w:sz w:val="28"/>
          <w:szCs w:val="28"/>
        </w:rPr>
        <w:t xml:space="preserve">ложительная динамика численности среднего медицинского персонала</w:t>
      </w:r>
      <w:r>
        <w:rPr>
          <w:rFonts w:ascii="Times New Roman" w:hAnsi="Times New Roman"/>
          <w:sz w:val="28"/>
          <w:szCs w:val="28"/>
        </w:rPr>
        <w:br/>
        <w:t xml:space="preserve">(+ 11 человек).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Показатель обеспеченности населения врачами, работающими в государственной системе здравоохранения Забайкальского края, за 2024 год составил 36,9 на 10 тысяч населения (2023 г</w:t>
      </w:r>
      <w:r>
        <w:rPr>
          <w:rFonts w:ascii="Times New Roman" w:hAnsi="Times New Roman"/>
          <w:sz w:val="28"/>
          <w:szCs w:val="28"/>
        </w:rPr>
        <w:t xml:space="preserve">од: Забайкальский край – 35,2, РФ – 37,5, ДФО – 39,8). Показатель обеспеченности населения средним медицинским персоналом государственной системы здравоохранения составил 79,6 на 10 тысяч населения (2023 год: Забайкальский край – 78,8, РФ – 76,6, ДФО – 81,</w:t>
      </w:r>
      <w:r>
        <w:rPr>
          <w:rFonts w:ascii="Times New Roman" w:hAnsi="Times New Roman"/>
          <w:sz w:val="28"/>
          <w:szCs w:val="28"/>
        </w:rPr>
        <w:t xml:space="preserve">7).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Отмечается положительная тенденция в укомплектованности детских медицинских организаций специалистами врачами-педиатрами (2024 год – 92,9 %, 2023 год – 86,7 %, 2022 год – 89,4 %, 2021 год – 91,3%; 2020 год – 89,4%; 2019 год - 88,1%).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 этом снизилас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 укомплектованность врачами-неонатологами (2024 год – 80,3 %, 2023 год – 73,4 %, 2022 год – 80,9, 2021 год – 87,2%; 2020 год – 86,4%; 2019 год – 86,5%).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Число врачей-акушеров-гинекологов и обеспеченность населения врачами акушерами-гинекологами также сниж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ается (число врачей в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абсолютных значениях/обеспеченность населения на 10 тысяч женского населения): 2024 год – 179/3,4; 2023 год – 189/3,6; 2022 год – 194/3,6; 2021 год – 206/3,8; 2020 год – 222/4,2; 2019 год – 228/4,1.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Отмечается отрицательная тенденция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обеспеченности детских медицинских учреждений специалистами: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снизилась укомплектованность врачами-педиатрами (2024 год – 92,9 %; 2023 год – 86,7 %; 2022 год – 89,4 %; 2021 год - 91,3%; 2020 год – 89,4%; 2019 год – 88,1%);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снизилась укомплектованность неонатологами: (2021 год – 87,2%; 2020 год – 86,4%; 2019 год – 86,5%).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обеспеченность врачами акушерами-гинекологами также снижается (в абсолютных значениях/на 10 тысяч женского населения: 2024 год – 179/3,4; 2023 год – 189/3,6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; 2022 год – 194/3,6; 2021 год </w:t>
      </w:r>
      <w:r>
        <w:rPr>
          <w:rFonts w:ascii="Times New Roman" w:hAnsi="Times New Roman" w:cs="Times New Roman"/>
          <w:sz w:val="28"/>
          <w:szCs w:val="28"/>
        </w:rPr>
        <w:t xml:space="preserve">–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206/3,8; 2020 год – 222/4,2; 2019 год – 228/4,1).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2024 году медицинскую помощь жителям оказывают 68 больничных организаций, и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х число с 2021 года выросло на 13 ед.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 w:eastAsiaTheme="minorEastAsia"/>
          <w:sz w:val="28"/>
          <w:szCs w:val="28"/>
          <w:highlight w:val="green"/>
          <w:lang w:eastAsia="ru-RU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За период с 2018-2021 количество амбулаторно-поликлинических организаций увеличилось на 2,2 % до 93 при одновременном росте их мощности на 16,3 % до 31,2 тыс. посещений в смену. Доля медицинских организаций частной системы здравоохранения, участвующих в ре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ализации территориальной программы обязательного медицинского страхования, в общем количестве медицинских организаций, участвующих в реализации территориальной программы обязательного медицинского страхования снизилась с 2019 года (2019 года – 26,7 %; 2020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года – 26,6 %; 2021 года – 26,95; 2022 года – 25,3 %).</w:t>
      </w:r>
      <w:r>
        <w:rPr>
          <w:rFonts w:ascii="Times New Roman" w:hAnsi="Times New Roman" w:cs="Times New Roman" w:eastAsiaTheme="minorEastAsia"/>
          <w:sz w:val="28"/>
          <w:szCs w:val="28"/>
          <w:highlight w:val="green"/>
          <w:lang w:eastAsia="ru-RU"/>
        </w:rPr>
        <w:t xml:space="preserve"> </w:t>
      </w:r>
      <w:r>
        <w:rPr>
          <w:rFonts w:ascii="Times New Roman" w:hAnsi="Times New Roman" w:cs="Times New Roman" w:eastAsiaTheme="minorEastAsia"/>
          <w:sz w:val="28"/>
          <w:szCs w:val="28"/>
          <w:highlight w:val="green"/>
          <w:lang w:eastAsia="ru-RU"/>
        </w:rPr>
      </w:r>
      <w:r>
        <w:rPr>
          <w:rFonts w:ascii="Times New Roman" w:hAnsi="Times New Roman" w:cs="Times New Roman" w:eastAsiaTheme="minorEastAsia"/>
          <w:sz w:val="28"/>
          <w:szCs w:val="28"/>
          <w:highlight w:val="green"/>
          <w:lang w:eastAsia="ru-RU"/>
        </w:rPr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Продолжается реализация мероприятий по материально-техническому оснащению медицинских организаций.</w:t>
      </w:r>
      <w:r>
        <w:rPr>
          <w:rFonts w:ascii="Times New Roman" w:hAnsi="Times New Roman" w:cs="Times New Roman" w:eastAsiaTheme="minorEastAsia"/>
          <w:sz w:val="28"/>
          <w:szCs w:val="28"/>
        </w:rPr>
      </w:r>
      <w:r>
        <w:rPr>
          <w:rFonts w:ascii="Times New Roman" w:hAnsi="Times New Roman" w:cs="Times New Roman" w:eastAsiaTheme="minorEastAsia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Образование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1 сентября 2024 года в Забайкальском крае функционировали 415 дошкольных образователь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ных организации с контингентов воспитанников 50 335 человек. По сравнению с 2019 годом число организаций сократилось на 49 единиц, численность воспитанников – на 4 848 человек. Наиболее низкая досту</w:t>
      </w:r>
      <w:r>
        <w:rPr>
          <w:rFonts w:ascii="Times New Roman" w:hAnsi="Times New Roman" w:cs="Times New Roman" w:eastAsiaTheme="minorEastAsia"/>
          <w:sz w:val="28"/>
          <w:szCs w:val="28"/>
          <w:lang w:eastAsia="ru-RU"/>
        </w:rPr>
        <w:t xml:space="preserve">пность мест для детей 1,5-3 лет.</w:t>
      </w:r>
      <w:r>
        <w:rPr>
          <w:rFonts w:ascii="Times New Roman" w:hAnsi="Times New Roman" w:cs="Times New Roman" w:eastAsiaTheme="minorEastAsia"/>
          <w:sz w:val="28"/>
          <w:szCs w:val="28"/>
        </w:rPr>
      </w:r>
      <w:r>
        <w:rPr>
          <w:rFonts w:ascii="Times New Roman" w:hAnsi="Times New Roman" w:cs="Times New Roman" w:eastAsiaTheme="minorEastAsia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рамках мероприятий по с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озданию дополнительных мест в дошкольных образовательных организациях за счет субсидий из федерального бюджета в период 2019-2024 годов создано 3 564 места, еще 270 дополнительных мест – в негосударственном секторе дошкольного образования.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По результатам п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роведенной Правительством Забайкальского края работы решен вопрос обеспечения 100-процентной доступности дошкольного образования для детей всех возрастов: для детей от 1,5 до 3 лет доступность увеличилась на 41,66% (1 января 2020 г. – 58,34%); для детей от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3 до 7 лет доступность увеличилась на 5,3% (1 января 2020 г. – 94,7%).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На начало 2024/2025 учебного года по образовательным программам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начального общего, основного общего, среднего общего образования обучались 141 610 человек, функционировало 526 общеобра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зовательных организации. По сравнению с 2019/2020 учебным годом число организаций сократилось на 34 единицы, численность школьников – на 4 871 человека.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Во 2-ю смену обучались 34 093 человека, что составляет 24,2 % от общего числа обучающихся (в 2019/2020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году – 39 140 чел., 26,7%), обучение в 3-ю смену в школах Забайкальского края не ведется.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Забайкальском крае, начиная с 2019 года, введены в эксплуатацию 8 школ общей мощностью 4 256 мест. В 2022-2024 годах выполнен капитальный ремонт 78 зданий общеобраз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овательных учреждений Забайкальского края (в 2022 году – 21, в 2023 году – 51, в 2024 году – 6).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Осуществлено обновление ФГОС общего образования, целями которых являются обеспечение качества общего образования, повышение роли школы в воспитании молодежи ка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 ответственных граждан Российской Федерации на основе традиционных российских духовно-нравственных и культурно- исторических ценностей.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Благодаря участию в мероприятиях национального проекта «Образование», обновлена материально-технической базы общеобразо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вательных организаций, внедрения новых образовательных технологий (созданы центры «Точка роста», «IT-кубы», школьные «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Кванториумы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» и др.). Это позволило повысить численность обучающихся, выбирающих предметы естественно-научного цикла, для государственной и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тоговой аттестации (в сравнении с 2023 годом – по математике профильной на 5,1%, по физике на 13,5%, по химии на 1,1%, по биологии на 3,5%), как следствие повышение качества образовательных результатов единого государственного экзамена по математике профил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ьной, физике, химии, биологии.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2024/2025 учебном году в системе общего образования трудилось 11 458 педагогических работников, из которых 9 723 – учителя (в 2019/2020 учебном году – 12 288 педагогических работников, из которых 10 466 учителей).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 2020 го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да реализуется программа «Земский учитель», направленная на восполнение дефицита учителей в сельских школах. Участниками программы в 2020-2024 годах стал 151 педагог.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2024 году в Забайкальском крае принят ряд мер, направленных на повышение уровня оплаты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труда педагогов (повышение окладов педагогическим работникам общего, дошкольного и дополнительного образования: выплаты педагогам, работающим в сельской местности, педагогам из перечня востребованных специальностей; молодым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  <w:t xml:space="preserve">учителям и др.).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дополнительно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м образовании осуществляют деятельность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  <w:t xml:space="preserve">72 учреждений дополнительного образования. Охват детей в возрасте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  <w:t xml:space="preserve">5-18 лет дополнительными общеобразовательными программами увеличился на 8,8 % с 2019 года и по итогам 2024 года составил 77,7 %.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Дополнительные общеоб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разовательные программы реализуются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5 детских технопарках «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Кванториум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». В образовательных организациях, начиная с 2020 года, создано 24 320 новых мест дополнительного образования детей.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Продолжает работу созданный в 2022 году Центр выявления и поддержки одаренных детей на базе ГАУ «Образовательный центр «Эврика», в котором проходят краевые образовательные смены по направлениям деятельности «Наука», «Искусство», «Спорт». Охват деятельность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ю центра составляет более 10 тыс. чел. ежегодно.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Увеличивается число федеральных и региональных мероприятий по выявлению, поддержке и развитию способностей детей, утвержден краевой календарь образовательных и воспитательных событий.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Общее количество детей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и молодежи, вовлеченных в кадетские, казачьи, военно-патриотические, поисковые объединения в крае, составляет более 32 тыс. чел. Ежегодно наблюдается увеличение участников юнармейского движения с 11 669 человек в 2021 году до 19 603 человек на начало 2025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года.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Начиная с 2022 года, в Забайкальском крае реализуется комплекс мероприятий, направленных на профилактику деструктивного поведения, безнадзорности и правонарушений несовершеннолетних.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На территории Забайкальского края реализуют программы среднего проф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ессионального образования (далее – СПО) в 32 профессиональных образовательных организациях. В 2024/2025 учебном году получали образование по программам СПО всех форм обучения 31 045 человек. Контингент обучающихся за последние 4 года увеличился на 2,1 %.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Контрольные цифры приема в 2024/2025 учебном году увеличились и составили 5 020 ед. (в 2019/2020 учебном году 4 640 ед.). Востребованные специальности: обогащение полезных ископаемых, маркшейдер, помощник машиниста, ремонт и обслуживание автомобилей, препо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давание в начальных классах, дошкольное образование, лечебное дело, информационные системы и программирование.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Выпуск обучающихся по образовательным программам СПО в 2024 году составил 6 207 человек (в 2019/2020 учебном году – 4 640 чел.). Доля выпускников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, занятых по виду деятельности и полученным компетенциям, составила 67,95% (в 2020 году – 64,58%).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Всего в период с 2019 по 2024 год в профессиональных образовательных организациях открыто 52 мастерских, соответствующих современным требованиям подготовки к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адров. В 2024 году проведен капитальный ремонт 6 зданий организаций профессионального образования, еще 3 здания будут отремонтированы в 2025-2026 годах.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Начиная с 2023 года, профессиональные образовательные организации Забайкальского края участвуют в реали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зации федерального проекта «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Профессионалитет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» по созданию образовательных, образовательно- производственных кластеров во взаимодействии с работодателями в соответствии с запросами региональной экономики.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На территории Забайкальского края расположено 6 орга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низаций,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осуществляющих реализацию программ высшего образования (в 2020 году – 7 организаций). Численность обучающихся сократилась на 3,8 тыс. человек и составила 19 374 чел., из которых 9 483 чел. обучается очно, 10 004 чел. – за счет бюджетных средств бю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джетной системы Российской Федерации. 100% студентов Забайкальского края обучается в государственных вузах и их филиалах.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Распределение приведенного контингента студентов по отраслям наук следующее: здравоохранение и медицинские науки – 26,6% (в 2020 году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– 22%); инженерное дело, технологии и технические науки – 26,2% (в 2020 году – 26,1%); науки об обществе – 21,9% (в 2020 году – 27,5%); образование и педагогические науки – 17,7% (в 2020 году – 16,1%), сельское хозяйство и сельскохозяйственные науки – 3,6%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(в 2020 году – 3,2%), гуманитарные науки – 2,7% (в 2020 году – 2,3%), математические и естественные науки – 1,4% (в 2020 году – 2,3%), искусство и культура – 0,1% (в 2020 году – 0,5%).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Контрольные цифры приема в 2024/2025 учебном году увеличились и состав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или 2 582 ед. (в 2020/2021 учебном году 2 381 ед.). Востребованные специальности в вузах: горное дело, строительство, информатика и вычислительная техника, теплоэнергетика и теплотехника, лечебное дело, стоматология, педиатрия, педагогическое образование,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международные отношения. Трудоустройство в учреждениях высшего образования в 2023/2024 учебном году – 75,6 %, что выше по сравнению с 2023 годом на 4,6%.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2023 году Забайкальский государственный университет стал участником программы «Приоритет 2030», в ра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мках которой реализуется проект «Горная академия», направленный на создание центра компетенций и экспертизы в сфере недропользования на Дальнем Востоке.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2024 году создан научно-образовательный центр «Забайкалье» на основе интеграции вузов и научных орган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изации и их кооперации с предприятиями реального сектора экономики. Также в 2024 году получили субсидии (гранты) на выполнение научных исследований и разработок.</w:t>
      </w:r>
    </w:p>
    <w:p>
      <w:pPr>
        <w:widowControl w:val="off"/>
        <w:spacing w:after="159" w:line="240" w:lineRule="auto"/>
        <w:ind w:firstLine="709"/>
        <w:jc w:val="both"/>
        <w:rPr>
          <w:rStyle w:val="1147"/>
          <w:rFonts w:ascii="Times New Roman" w:hAnsi="Times New Roman" w:cs="Times New Roman" w:eastAsiaTheme="minorEastAsia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Результаты работы по совершенствованию системы высшего образования, взаимодействию с реальным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сектором экономики, научным разработкам и исследованиям легли в основу концепции межвузовского кампуса, создание которого запланировано в рамках реализации национального проекта «Молодежь и дети».</w:t>
      </w:r>
      <w:r>
        <w:rPr>
          <w:rStyle w:val="1147"/>
          <w:rFonts w:ascii="Times New Roman" w:hAnsi="Times New Roman" w:cs="Times New Roman" w:eastAsiaTheme="minorEastAsia"/>
          <w:sz w:val="28"/>
          <w:szCs w:val="28"/>
        </w:rPr>
      </w:r>
      <w:r>
        <w:rPr>
          <w:rStyle w:val="1147"/>
          <w:rFonts w:ascii="Times New Roman" w:hAnsi="Times New Roman" w:cs="Times New Roman" w:eastAsiaTheme="minorEastAsia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Style w:val="1147"/>
          <w:rFonts w:ascii="Times New Roman" w:hAnsi="Times New Roman" w:cs="Times New Roman" w:eastAsiaTheme="minorEastAsia"/>
          <w:bCs/>
          <w:i/>
          <w:sz w:val="28"/>
          <w:szCs w:val="28"/>
        </w:rPr>
      </w:pP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Молодежная политика</w:t>
      </w:r>
      <w:r>
        <w:rPr>
          <w:rStyle w:val="1147"/>
          <w:rFonts w:ascii="Times New Roman" w:hAnsi="Times New Roman" w:cs="Times New Roman" w:eastAsiaTheme="minorEastAsia"/>
          <w:bCs/>
          <w:i/>
          <w:sz w:val="28"/>
          <w:szCs w:val="28"/>
        </w:rPr>
      </w:r>
      <w:r>
        <w:rPr>
          <w:rStyle w:val="1147"/>
          <w:rFonts w:ascii="Times New Roman" w:hAnsi="Times New Roman" w:cs="Times New Roman" w:eastAsiaTheme="minorEastAsia"/>
          <w:bCs/>
          <w:i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Style w:val="1147"/>
          <w:rFonts w:ascii="Times New Roman" w:hAnsi="Times New Roman" w:cs="Times New Roman" w:eastAsiaTheme="minorEastAsia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По данным Федеральной службы государств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енной статистики по Забайкальскому краю, численность молодежи в возрасте от 14 до 35 лет на территории Забайкальского края в период с 1 января 2023 года по 1 января 2024 года снизилась на 2% в общей численности населения Забайкальского края. На 1 января 20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23 года численность молодежи составляла 287 778 человек (28,9% от общей численности населения края) из них городской 208 379 человек, сельской 79 399 человек, на 1 января 2024 года – 281 925 человек (28,6% от общей численности населения края)  из них город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ской 204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717 человек, сельской 77 208 человек.</w:t>
      </w:r>
      <w:r>
        <w:rPr>
          <w:rStyle w:val="1147"/>
          <w:rFonts w:ascii="Times New Roman" w:hAnsi="Times New Roman" w:cs="Times New Roman" w:eastAsiaTheme="minorEastAsia"/>
          <w:sz w:val="28"/>
          <w:szCs w:val="28"/>
        </w:rPr>
      </w:r>
      <w:r>
        <w:rPr>
          <w:rStyle w:val="1147"/>
          <w:rFonts w:ascii="Times New Roman" w:hAnsi="Times New Roman" w:cs="Times New Roman" w:eastAsiaTheme="minorEastAsia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Актуальное состояние молодежной политики характеризуется наличием высокого оттока молодежи в возрасте от 14 до 35 лет, что является основной проблемой, которую необходимо решить в целях достижения устойчивого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социально-экономического развития. Снижение численности молодежи вследствие демографических проблем прошлых лет может оказать системное влияние на социально-экономическое развитие субъекта, привести к убыли населения, сокращению трудовых ресурсов.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настоя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щее время продолжается усиление потоков внутренней миграции молодежи, существенный отток молодежи из сельской местности, в том числе за пределы Забайкальского края. Вышеуказанное обстоятельство приводит к сокращению численности молодых людей в структуре на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селения муниципальных образований (преимущественно сельских районов), постепенному уменьшению социально-экономического и интеллектуально-творческого потенциала этих территорий.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изменившихся социально-экономических и организационных условиях необходимо ис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пользовать имеющийся потенциал и возможности региона для того, чтобы определить новое содержание, направления и механизмы реализации молодежной политики, связанные с актуализацией субъектной позиции молодежи, привлечением ресурсов экспертного сообщества и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институционализацией инноваций в сфере молодежной политики путем их законодательного закрепления.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Стратегия направлена на создание условий для вовлечения молодежи Забайкальского края как активного субъекта в процессы социально-экономического, общественно-п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олитического, культурного развития Забайкальского края, содействие повышению социальной активности и включенности молодежи в процессы развития гражданского общества, закреплению молодых кадров в социальной сфере и производственной инфраструктуре края.</w:t>
      </w:r>
    </w:p>
    <w:p>
      <w:pPr>
        <w:widowControl w:val="off"/>
        <w:spacing w:after="0" w:line="240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Инфр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аструктура молодежной политики</w:t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 w:cs="Times New Roman" w:eastAsiaTheme="minorEastAsia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По состоянию на 1 января 2025 г. в Забайкальском крае действуют: 398 клубов патриотического воспитания, 2 ресурсных центров добровольчества, 5 центров общественного развития «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Добро.Центр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»; 18 штабов взаимопомощи #МЫВМЕСТЕ, 6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штабов на базе образовательных организаций высшего образования, 9 штабов на базе профессиональных образовательных организаций; 22 молодежных семейных клуба; 529 организаций отдыха детей и их оздоровления, включая 49 загородных стационарных лагерей, 467 орг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анизаций с дневным пребыванием в каникулярное время, 8 лагерей палаточного типа, 5 санаторно-курортной направленности; 161 учреждение дополнительного образования (включая региональный центр выявления и поддержки одаренных детей, сеть детских технопарков, I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T-Кубов, Центров «Точка Роста» и др.), 523 школьных спортивных клубов, 361 школьный театр, 361 школьный музей, 100 школьных хоров, 110 школьных медиа центров, 29 школьных лесничеств, 107 школьных волонтерских отрядов, 78 школьных научных сообществ. </w:t>
      </w:r>
      <w:r>
        <w:rPr>
          <w:rFonts w:ascii="Times New Roman" w:hAnsi="Times New Roman" w:cs="Times New Roman" w:eastAsiaTheme="minorEastAsia"/>
          <w:sz w:val="28"/>
          <w:szCs w:val="28"/>
        </w:rPr>
      </w:r>
      <w:r>
        <w:rPr>
          <w:rFonts w:ascii="Times New Roman" w:hAnsi="Times New Roman" w:cs="Times New Roman" w:eastAsiaTheme="minorEastAsia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bCs/>
          <w:i/>
        </w:rPr>
      </w:pP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Культу</w:t>
      </w: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ра</w:t>
      </w:r>
      <w:r>
        <w:rPr>
          <w:bCs/>
          <w:i/>
        </w:rPr>
      </w:r>
      <w:r>
        <w:rPr>
          <w:bCs/>
          <w:i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По состоянию на 1 января 2025 года сфера культуры Забайкальского края представлена 1292 учреждениями культуры: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библиотеки – 592;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учреждения культурно-досугового типа (дома культуры, клубы, культурные центры) – 558;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театрально-концертные учреждения – 8;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центры народного творчества – 2;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организации отраслевого образования – 58 (в том числе ГПОУ «Забайкальское краевого училище искусств», ГПОУ «Забайкальское краевое училище культуры, детские школы искусств по видам искусств – 56);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музеи – 27;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кинокомпания – 1;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кинотеатры – 9;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зоопарк – 1;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а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рхивы – 34;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Этно-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археопарк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Сухотино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»;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Fonts w:ascii="Times New Roman" w:hAnsi="Times New Roman" w:cs="Times New Roman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 обеспечения деятельности учреждений культуры – 1.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pStyle w:val="1146"/>
        <w:shd w:val="clear" w:color="auto" w:fill="ffffff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На территории Забайкальского края с 2020 по 2024 год реализованы мероприятия по строительству (реконструкции) и капитальному ремонту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96 объектов культуры, в том 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числе осуществлены капитальные ремонты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br/>
        <w:t xml:space="preserve">50 учреждений культурно-досугового типа в сельской местности,  2-х музеев, 42 детских школ искусств по видам искусств, проводится модернизация 1 театра кукол путем его реконструкции, срок завершения реконструкции план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ируется 31 декабря 2025 года.</w:t>
      </w:r>
      <w:r>
        <w:rPr>
          <w:rFonts w:ascii="Times New Roman" w:hAnsi="Times New Roman" w:cs="Times New Roman"/>
          <w:shd w:val="clear" w:color="auto" w:fill="ffffff"/>
        </w:rPr>
      </w:r>
      <w:r>
        <w:rPr>
          <w:rFonts w:ascii="Times New Roman" w:hAnsi="Times New Roman" w:cs="Times New Roman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В рамках реализации ФАИП в 2022 году было завершено мероприятие «Реконструкция здания ГАУК «Забайкальский краевой драматический театр».</w:t>
      </w:r>
      <w:r>
        <w:rPr>
          <w:rFonts w:ascii="Times New Roman" w:hAnsi="Times New Roman" w:cs="Times New Roman"/>
          <w:shd w:val="clear" w:color="auto" w:fill="ffffff"/>
        </w:rPr>
      </w:r>
      <w:r>
        <w:rPr>
          <w:rFonts w:ascii="Times New Roman" w:hAnsi="Times New Roman" w:cs="Times New Roman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современной инфраструктуры отрасли и обновление материально-технической базы учре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ждений – основа для обеспечения доступности культурных благ и качества оказания услуг. Обеспеченность учреждениями культуры в 2024 году составила 85,5% от рекомендованных нормативов.</w:t>
      </w:r>
      <w:r>
        <w:rPr>
          <w:rFonts w:ascii="Times New Roman" w:hAnsi="Times New Roman" w:cs="Times New Roman"/>
          <w:shd w:val="clear" w:color="auto" w:fill="ffffff"/>
        </w:rPr>
      </w:r>
      <w:r>
        <w:rPr>
          <w:rFonts w:ascii="Times New Roman" w:hAnsi="Times New Roman" w:cs="Times New Roman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Сфера ку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льтуры и искусства края испытывает недостаток кадров, из общего ч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исла педагогических работников более 50% преподавателей предпенсионного и пенсионного возраста.</w:t>
      </w:r>
      <w:r>
        <w:rPr>
          <w:rFonts w:ascii="Times New Roman" w:hAnsi="Times New Roman" w:cs="Times New Roman"/>
          <w:shd w:val="clear" w:color="auto" w:fill="ffffff"/>
        </w:rPr>
      </w:r>
      <w:r>
        <w:rPr>
          <w:rFonts w:ascii="Times New Roman" w:hAnsi="Times New Roman" w:cs="Times New Roman"/>
          <w:shd w:val="clear" w:color="auto" w:fill="ffffff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Физическая культура и спорт 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spacing w:after="159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календарным планом 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н</w:t>
      </w:r>
      <w:r>
        <w:rPr>
          <w:rFonts w:ascii="Times New Roman" w:hAnsi="Times New Roman" w:cs="Times New Roman"/>
          <w:sz w:val="28"/>
          <w:szCs w:val="28"/>
        </w:rPr>
        <w:t xml:space="preserve">а 2024 год Министерства физической культуры и спорта Забайкальского края спортивных краевых ме</w:t>
      </w:r>
      <w:r>
        <w:rPr>
          <w:rFonts w:ascii="Times New Roman" w:hAnsi="Times New Roman" w:cs="Times New Roman"/>
          <w:sz w:val="28"/>
          <w:szCs w:val="28"/>
        </w:rPr>
        <w:t xml:space="preserve">роприятий было проведено 1536, приняло участие 119 195 человек.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3. Спортивная квалификация спортсменов на 2024 год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104"/>
        <w:tblW w:w="0" w:type="auto"/>
        <w:tblInd w:w="128" w:type="dxa"/>
        <w:tblLayout w:type="fixed"/>
        <w:tblLook w:val="04A0" w:firstRow="1" w:lastRow="0" w:firstColumn="1" w:lastColumn="0" w:noHBand="0" w:noVBand="1"/>
      </w:tblPr>
      <w:tblGrid>
        <w:gridCol w:w="727"/>
        <w:gridCol w:w="6197"/>
        <w:gridCol w:w="2126"/>
      </w:tblGrid>
      <w:tr>
        <w:trPr/>
        <w:tblPrEx/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6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Спортивное звание, спортивный разряд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Кол-во чел.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6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Заслуженный мастер спорта России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6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Мастер спорта России международного класса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6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Мастер спорта России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132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7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61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Кандидат в мастера спорта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1645</w:t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  <w:r>
              <w:rPr>
                <w:rFonts w:ascii="Times New Roman" w:hAnsi="Times New Roman"/>
                <w:bCs/>
                <w:sz w:val="24"/>
                <w:szCs w:val="24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Спортсмены сборных команд Забайкальского края завоевали медали на соревнованиях: уровня СФО и ДФО – 2513 медалей, всероссийского уровня – 1803 медали, международные соревнования – 221 медалей.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период с 2020 г. по 2024 г. доля граждан, систематически зани</w:t>
      </w:r>
      <w:r>
        <w:rPr>
          <w:rFonts w:ascii="Times New Roman" w:hAnsi="Times New Roman" w:cs="Times New Roman"/>
          <w:sz w:val="28"/>
          <w:szCs w:val="28"/>
        </w:rPr>
        <w:t xml:space="preserve">мающихся физической культурой и спортом (в возрасте 3-29 лет)» - возросла с 35,5 % до 56,8 %, план на 2025 год – 59.4 %.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национального проекта «Демография» регионального проекта «Спорт – норма жизни», за период с 2020 – 2024 год провели более 6000</w:t>
      </w:r>
      <w:r>
        <w:rPr>
          <w:rFonts w:ascii="Times New Roman" w:hAnsi="Times New Roman" w:cs="Times New Roman"/>
          <w:sz w:val="28"/>
          <w:szCs w:val="28"/>
        </w:rPr>
        <w:t xml:space="preserve"> физкультурных и спортивных мероприятий, наиболее массовыми из которых стали: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Всероссийский полумарафон </w:t>
      </w:r>
      <w:r>
        <w:rPr>
          <w:rFonts w:ascii="Times New Roman" w:hAnsi="Times New Roman" w:cs="Times New Roman"/>
          <w:sz w:val="28"/>
          <w:szCs w:val="28"/>
        </w:rPr>
        <w:t xml:space="preserve">ЗабегРФ</w:t>
      </w:r>
      <w:r>
        <w:rPr>
          <w:rFonts w:ascii="Times New Roman" w:hAnsi="Times New Roman" w:cs="Times New Roman"/>
          <w:sz w:val="28"/>
          <w:szCs w:val="28"/>
        </w:rPr>
        <w:t xml:space="preserve">, два уникальных фестиваля на открытой воде Всероссийский фестиваль по </w:t>
      </w:r>
      <w:r>
        <w:rPr>
          <w:rFonts w:ascii="Times New Roman" w:hAnsi="Times New Roman" w:cs="Times New Roman"/>
          <w:sz w:val="28"/>
          <w:szCs w:val="28"/>
        </w:rPr>
        <w:t xml:space="preserve">сапбордингу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 xml:space="preserve">ЗабСап</w:t>
      </w:r>
      <w:r>
        <w:rPr>
          <w:rFonts w:ascii="Times New Roman" w:hAnsi="Times New Roman" w:cs="Times New Roman"/>
          <w:sz w:val="28"/>
          <w:szCs w:val="28"/>
        </w:rPr>
        <w:t xml:space="preserve">» на кубок Губернатора Забайкальского края и фестиваль</w:t>
      </w:r>
      <w:r>
        <w:rPr>
          <w:rFonts w:ascii="Times New Roman" w:hAnsi="Times New Roman" w:cs="Times New Roman"/>
          <w:sz w:val="28"/>
          <w:szCs w:val="28"/>
        </w:rPr>
        <w:t xml:space="preserve"> по плаванию на открытой воде «</w:t>
      </w:r>
      <w:r>
        <w:rPr>
          <w:rFonts w:ascii="Times New Roman" w:hAnsi="Times New Roman" w:cs="Times New Roman"/>
          <w:sz w:val="28"/>
          <w:szCs w:val="28"/>
        </w:rPr>
        <w:t xml:space="preserve">ZabSwimFest</w:t>
      </w:r>
      <w:r>
        <w:rPr>
          <w:rFonts w:ascii="Times New Roman" w:hAnsi="Times New Roman" w:cs="Times New Roman"/>
          <w:sz w:val="28"/>
          <w:szCs w:val="28"/>
        </w:rPr>
        <w:t xml:space="preserve">» на оз. </w:t>
      </w:r>
      <w:r>
        <w:rPr>
          <w:rFonts w:ascii="Times New Roman" w:hAnsi="Times New Roman" w:cs="Times New Roman"/>
          <w:sz w:val="28"/>
          <w:szCs w:val="28"/>
        </w:rPr>
        <w:t xml:space="preserve">Арахлей</w:t>
      </w:r>
      <w:r>
        <w:rPr>
          <w:rFonts w:ascii="Times New Roman" w:hAnsi="Times New Roman" w:cs="Times New Roman"/>
          <w:sz w:val="28"/>
          <w:szCs w:val="28"/>
        </w:rPr>
        <w:t xml:space="preserve">, фестиваль уличных видов спорта «Сила Улиц» соревнования по </w:t>
      </w:r>
      <w:r>
        <w:rPr>
          <w:rFonts w:ascii="Times New Roman" w:hAnsi="Times New Roman" w:cs="Times New Roman"/>
          <w:sz w:val="28"/>
          <w:szCs w:val="28"/>
        </w:rPr>
        <w:t xml:space="preserve">воркауту</w:t>
      </w:r>
      <w:r>
        <w:rPr>
          <w:rFonts w:ascii="Times New Roman" w:hAnsi="Times New Roman" w:cs="Times New Roman"/>
          <w:sz w:val="28"/>
          <w:szCs w:val="28"/>
        </w:rPr>
        <w:t xml:space="preserve">, паркуру, БМХ (экстремальный велоспорт), соревнования по бегу с препятствием «Спарта», фестиваль по подледному лову «</w:t>
      </w:r>
      <w:r>
        <w:rPr>
          <w:rFonts w:ascii="Times New Roman" w:hAnsi="Times New Roman" w:cs="Times New Roman"/>
          <w:sz w:val="28"/>
          <w:szCs w:val="28"/>
        </w:rPr>
        <w:t xml:space="preserve">Рыбомания</w:t>
      </w:r>
      <w:r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024» на призы Губернатора Забайкальского края.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«5-ти </w:t>
      </w:r>
      <w:r>
        <w:rPr>
          <w:rFonts w:ascii="Times New Roman" w:hAnsi="Times New Roman" w:cs="Times New Roman"/>
          <w:sz w:val="28"/>
          <w:szCs w:val="28"/>
        </w:rPr>
        <w:t xml:space="preserve">летия</w:t>
      </w:r>
      <w:r>
        <w:rPr>
          <w:rFonts w:ascii="Times New Roman" w:hAnsi="Times New Roman" w:cs="Times New Roman"/>
          <w:sz w:val="28"/>
          <w:szCs w:val="28"/>
        </w:rPr>
        <w:t xml:space="preserve"> спорта в Забайкальском крае» Министерством реализованы проекты: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региональные проекты «Мини-футбол в школу», «</w:t>
      </w:r>
      <w:r>
        <w:rPr>
          <w:rFonts w:ascii="Times New Roman" w:hAnsi="Times New Roman" w:cs="Times New Roman"/>
          <w:sz w:val="28"/>
          <w:szCs w:val="28"/>
        </w:rPr>
        <w:t xml:space="preserve">Киокусинкай</w:t>
      </w:r>
      <w:r>
        <w:rPr>
          <w:rFonts w:ascii="Times New Roman" w:hAnsi="Times New Roman" w:cs="Times New Roman"/>
          <w:sz w:val="28"/>
          <w:szCs w:val="28"/>
        </w:rPr>
        <w:t xml:space="preserve"> в школу», «Самбо в школу», «Регби в школу», участие приняло более</w:t>
      </w:r>
      <w:r>
        <w:rPr>
          <w:rFonts w:ascii="Times New Roman" w:hAnsi="Times New Roman" w:cs="Times New Roman"/>
          <w:sz w:val="28"/>
          <w:szCs w:val="28"/>
        </w:rPr>
        <w:t xml:space="preserve"> 5000 школьников;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«</w:t>
      </w:r>
      <w:r>
        <w:rPr>
          <w:rFonts w:ascii="Times New Roman" w:hAnsi="Times New Roman" w:cs="Times New Roman"/>
          <w:sz w:val="28"/>
          <w:szCs w:val="28"/>
        </w:rPr>
        <w:t xml:space="preserve">Арахлей</w:t>
      </w:r>
      <w:r>
        <w:rPr>
          <w:rFonts w:ascii="Times New Roman" w:hAnsi="Times New Roman" w:cs="Times New Roman"/>
          <w:sz w:val="28"/>
          <w:szCs w:val="28"/>
        </w:rPr>
        <w:t xml:space="preserve"> – территория спорта»;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 по йоге и бегу «Йога-тайм», «Фри-ран»;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для пенсионеров «Серебряный фитнес».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2024 году запущен бесплатный летний проект «Спортивное лето» для всех желающих по йоге, оздоровительному </w:t>
      </w:r>
      <w:r>
        <w:rPr>
          <w:rFonts w:ascii="Times New Roman" w:hAnsi="Times New Roman" w:cs="Times New Roman"/>
          <w:sz w:val="28"/>
          <w:szCs w:val="28"/>
        </w:rPr>
        <w:t xml:space="preserve">цигуну</w:t>
      </w:r>
      <w:r>
        <w:rPr>
          <w:rFonts w:ascii="Times New Roman" w:hAnsi="Times New Roman" w:cs="Times New Roman"/>
          <w:sz w:val="28"/>
          <w:szCs w:val="28"/>
        </w:rPr>
        <w:t xml:space="preserve">, занятиям по фитнесу.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113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развития спорта на территории региона, а также для обеспечения территориальной доступности спортивных объектов Правительством Забайкальского края ежегодно реализуются мероприятия по строительству, возведению и приведени</w:t>
      </w:r>
      <w:r>
        <w:rPr>
          <w:rFonts w:ascii="Times New Roman" w:hAnsi="Times New Roman" w:cs="Times New Roman"/>
          <w:sz w:val="28"/>
          <w:szCs w:val="28"/>
        </w:rPr>
        <w:t xml:space="preserve">ю в нормативное состояние спортивных сооружений, что увеличивает показатель «Единовременная пропускная способность спортивных сооружений». В 2020 году показатель составил 39,3 %, в 2021 году – 49,6%, в 2022 году – 47,9%, в 2023 году – 47,33%, в 2024 году –</w:t>
      </w:r>
      <w:r>
        <w:rPr>
          <w:rFonts w:ascii="Times New Roman" w:hAnsi="Times New Roman" w:cs="Times New Roman"/>
          <w:sz w:val="28"/>
          <w:szCs w:val="28"/>
        </w:rPr>
        <w:t xml:space="preserve"> 48 %.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113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113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4. Показатели развития физической культуры и спорта за 2020-2024 годы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62"/>
        <w:tblW w:w="0" w:type="auto"/>
        <w:tblInd w:w="5" w:type="dxa"/>
        <w:tblLayout w:type="fixed"/>
        <w:tblLook w:val="04A0" w:firstRow="1" w:lastRow="0" w:firstColumn="1" w:lastColumn="0" w:noHBand="0" w:noVBand="1"/>
      </w:tblPr>
      <w:tblGrid>
        <w:gridCol w:w="4535"/>
        <w:gridCol w:w="962"/>
        <w:gridCol w:w="962"/>
        <w:gridCol w:w="962"/>
        <w:gridCol w:w="962"/>
        <w:gridCol w:w="962"/>
      </w:tblGrid>
      <w:tr>
        <w:trPr>
          <w:trHeight w:val="717"/>
        </w:trPr>
        <w:tblPrEx/>
        <w:tc>
          <w:tcPr>
            <w:tcW w:w="4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ind w:left="113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4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ind w:left="11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«Доля граждан, систематически занимающихся физической культурой и спортом, %»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ind w:left="113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«Уровень обеспеченности граждан спортивными сооружениями исходя из единовременной пропускной способности»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39,3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49,6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47,9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47,3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widowControl w:val="off"/>
        <w:spacing w:before="240" w:after="0" w:line="240" w:lineRule="auto"/>
        <w:ind w:right="102" w:firstLine="709"/>
        <w:jc w:val="both"/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 xml:space="preserve">Социальные условия и окружающая среда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За 2020-2024 годы размер среднедушевых денежных доходов жителей Забайкальского края в номинальном выражении увеличился в 1,9 раза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br/>
        <w:t xml:space="preserve">до 50 411,0 рублей в расчете на душу населения (таблица 5). При этом прирост реальных ра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сполагаемых денежных доходов составил 20,7 %. Средний доход одного жителя края за 2024 год ниже показателя по стране на 20,1 %, по макрорегиону на 24,8 %.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pStyle w:val="1146"/>
        <w:shd w:val="clear" w:color="auto" w:fill="ffffff"/>
        <w:spacing w:after="159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Основным источником, обеспечивающим более половины совокупных доходов граждан, является заработная пл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ата. В 2024 году средняя номинальная заработная плата в крае составила 85 189,8 рублей, увеличившись к уровню 2020 года в 1,8 раза. Ее размер ниже уровня оплаты труда по стране в целом на 4,4 % и по федеральному округу на 15,3 %.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widowControl w:val="off"/>
        <w:spacing w:after="0" w:line="240" w:lineRule="auto"/>
        <w:ind w:right="-1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5. Доходы жителей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Забайкальского края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214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834"/>
        <w:gridCol w:w="1135"/>
        <w:gridCol w:w="1017"/>
        <w:gridCol w:w="1076"/>
        <w:gridCol w:w="1076"/>
        <w:gridCol w:w="1076"/>
      </w:tblGrid>
      <w:tr>
        <w:trPr>
          <w:trHeight w:val="540"/>
          <w:tblHeader/>
        </w:trPr>
        <w:tblPrEx/>
        <w:tc>
          <w:tcPr>
            <w:tcW w:w="3835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13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1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cs="Times New Roman" w:eastAsiaTheme="minorEastAsia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Среднемесячная начисленная номинальная заработная плата, рублей</w:t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 w:eastAsiaTheme="minorEastAsia"/>
                <w:sz w:val="24"/>
                <w:szCs w:val="24"/>
                <w:lang w:val="ru-RU"/>
              </w:rPr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47 171,7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52 216,0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59 412,9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69 830,3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85 189,8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8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Реальная заработная плата, % к предыдущему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102,9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103,4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99,2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109,6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111,2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835" w:type="dxa"/>
            <w:shd w:val="clear" w:color="ffffff" w:fill="ffffff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Среднедушевые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денежные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доходы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рублей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28 021,3</w:t>
            </w:r>
            <w:r>
              <w:rPr>
                <w:color w:val="000000" w:themeColor="text1"/>
                <w:shd w:val="clear" w:color="auto" w:fill="ffffff"/>
              </w:rPr>
            </w:r>
            <w:r>
              <w:rPr>
                <w:color w:val="000000" w:themeColor="text1"/>
                <w:shd w:val="clear" w:color="auto" w:fill="ffffff"/>
              </w:rPr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31 042,7</w:t>
            </w:r>
            <w:r>
              <w:rPr>
                <w:color w:val="000000" w:themeColor="text1"/>
                <w:shd w:val="clear" w:color="auto" w:fill="ffffff"/>
              </w:rPr>
            </w:r>
            <w:r>
              <w:rPr>
                <w:color w:val="000000" w:themeColor="text1"/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38 601,3</w:t>
            </w:r>
            <w:r>
              <w:rPr>
                <w:color w:val="000000" w:themeColor="text1"/>
                <w:shd w:val="clear" w:color="auto" w:fill="ffffff"/>
              </w:rPr>
            </w:r>
            <w:r>
              <w:rPr>
                <w:color w:val="000000" w:themeColor="text1"/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42 757,9</w:t>
            </w:r>
            <w:r>
              <w:rPr>
                <w:color w:val="000000" w:themeColor="text1"/>
                <w:shd w:val="clear" w:color="auto" w:fill="ffffff"/>
              </w:rPr>
            </w:r>
            <w:r>
              <w:rPr>
                <w:color w:val="000000" w:themeColor="text1"/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color w:val="000000" w:themeColor="text1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color w:val="000000" w:themeColor="text1"/>
                <w:sz w:val="24"/>
                <w:shd w:val="clear" w:color="auto" w:fill="ffffff"/>
              </w:rPr>
              <w:t xml:space="preserve">50 411,0</w:t>
            </w:r>
            <w:r>
              <w:rPr>
                <w:color w:val="000000" w:themeColor="text1"/>
                <w:shd w:val="clear" w:color="auto" w:fill="ffffff"/>
              </w:rPr>
            </w:r>
            <w:r>
              <w:rPr>
                <w:color w:val="000000" w:themeColor="text1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835" w:type="dxa"/>
            <w:shd w:val="clear" w:color="ffffff" w:fill="ffffff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Реальные денежные доходы, % к предыдущему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99,9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102,2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108,0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101,2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0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107,6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</w:tbl>
    <w:p>
      <w:pPr>
        <w:pStyle w:val="1146"/>
        <w:shd w:val="clear" w:color="auto" w:fill="ffffff"/>
        <w:spacing w:before="240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Также сохраняется отставание по покупательной способности доходов населения – среднедушевые доходы обеспечивали покупку в среднем 1,7 фиксированного набора товаров и услуг при уровне показателя по стране 2,2 потребительской корзины и 2,1 потребительской ко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рзины в среднем по макрорегиону. Уровень бедности в Забайкальском крае в 2024 году составил 12,9 %, что почти в 2 раза выше среднероссийского показателя (7,2 %).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Обеспеченность жильем населения края ниже, чем в среднем по стране и федеральному округу, вмес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те с тем ситуация улучшается. В 2024 году на одного жителя края приходилось 23,9 кв. м жилых помещений. Среднероссийский показатель за 2024 год составил 34,2 кв. м. Всего на территории края за 2020-2024 годы введено в эксплуатацию 1487,7 тыс. кв. м жилых п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омещений. Ежегодный ввод в расчете на душу населения составил в среднем 0,42 кв. м на человека в год, что значительно уступает среднему показателю по стране (0,57). Темпы жилищного строительства в крае имели положительную динамику. Рост объемов строительст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ва жилья в 2024 соста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вляет 15,6 %.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widowControl w:val="off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Cs/>
          <w:i/>
          <w:sz w:val="28"/>
          <w:szCs w:val="28"/>
          <w:highlight w:val="green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  <w:t xml:space="preserve">Жилищное строительство </w:t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green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  <w:highlight w:val="green"/>
        </w:rPr>
      </w:r>
    </w:p>
    <w:p>
      <w:pPr>
        <w:pStyle w:val="1146"/>
        <w:shd w:val="clear" w:color="auto" w:fill="ffffff"/>
        <w:spacing w:line="276" w:lineRule="auto"/>
        <w:ind w:firstLine="709"/>
        <w:jc w:val="both"/>
        <w:rPr>
          <w:rStyle w:val="1147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14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Обеспеченность жильем населения края ниже, чем в среднем по стране и федеральному округу, вместе с тем ситуация улучшается. В 2024 году на одного жителя края приходилось 24,0 кв. м жилых помещений, что на 6,2% больше, чем в 2020 году.</w:t>
      </w:r>
      <w:r>
        <w:rPr>
          <w:rStyle w:val="1147"/>
          <w:rFonts w:ascii="Times New Roman" w:hAnsi="Times New Roman" w:cs="Times New Roman"/>
          <w:color w:val="auto"/>
          <w:sz w:val="28"/>
          <w:szCs w:val="28"/>
        </w:rPr>
      </w:r>
      <w:r>
        <w:rPr>
          <w:rStyle w:val="1147"/>
          <w:rFonts w:ascii="Times New Roman" w:hAnsi="Times New Roman" w:cs="Times New Roman"/>
          <w:color w:val="auto"/>
          <w:sz w:val="28"/>
          <w:szCs w:val="28"/>
        </w:rPr>
      </w:r>
    </w:p>
    <w:p>
      <w:pPr>
        <w:pStyle w:val="1146"/>
        <w:shd w:val="clear" w:color="auto" w:fill="ffffff"/>
        <w:spacing w:after="159" w:line="276" w:lineRule="auto"/>
        <w:ind w:firstLine="709"/>
        <w:jc w:val="both"/>
        <w:rPr>
          <w:rStyle w:val="1147"/>
          <w:rFonts w:ascii="Times New Roman" w:hAnsi="Times New Roman" w:cs="Times New Roman"/>
          <w:color w:val="auto"/>
          <w:sz w:val="28"/>
          <w:szCs w:val="28"/>
        </w:rPr>
      </w:pPr>
      <w:r>
        <w:rPr>
          <w:rStyle w:val="114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Среднероссийский показатель составил 27,7 кв. м, в макрорегионе - 24,6 кв. м. на одного жителя. Всего на территории края за 2018 - 2021 годы введено в эксплуатацию 788,2 тыс. кв. м жилых помещений. Ежегодный ввод в расчете на душу населения составил в сред</w:t>
      </w:r>
      <w:r>
        <w:rPr>
          <w:rStyle w:val="114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нем 0,19 кв. м на человека в год, что значительно уступает среднему показателю по стране (0,57) и макрорегиону (0,32). Темпы жилищного строительства в крае имели разнонаправленную динамику. Рост объемов строительства жилья отмечен в 2019 и 2021 годах - на </w:t>
      </w:r>
      <w:r>
        <w:rPr>
          <w:rStyle w:val="1147"/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15,2 и 13,3% соответственно. В целом за указанный период темп ввода жилья составил 74,8%, в целом по стране - 114,5% и макрорегиону - 119,6%.</w:t>
      </w:r>
      <w:r>
        <w:rPr>
          <w:rStyle w:val="1147"/>
          <w:rFonts w:ascii="Times New Roman" w:hAnsi="Times New Roman" w:cs="Times New Roman"/>
          <w:color w:val="auto"/>
          <w:sz w:val="28"/>
          <w:szCs w:val="28"/>
        </w:rPr>
      </w:r>
      <w:r>
        <w:rPr>
          <w:rStyle w:val="1147"/>
          <w:rFonts w:ascii="Times New Roman" w:hAnsi="Times New Roman" w:cs="Times New Roman"/>
          <w:color w:val="auto"/>
          <w:sz w:val="28"/>
          <w:szCs w:val="28"/>
        </w:rPr>
      </w:r>
    </w:p>
    <w:p>
      <w:pPr>
        <w:pStyle w:val="1146"/>
        <w:shd w:val="clear" w:color="auto" w:fill="ffffff"/>
        <w:spacing w:line="276" w:lineRule="auto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В целом, ситуация с благоустройством жилья жителей ежегодно улучшается. Прирост уровня благоустройства происходит </w:t>
      </w:r>
      <w:r>
        <w:rPr>
          <w:rStyle w:val="1147"/>
          <w:rFonts w:ascii="Times New Roman" w:hAnsi="Times New Roman" w:cs="Times New Roman"/>
          <w:sz w:val="28"/>
          <w:szCs w:val="28"/>
        </w:rPr>
        <w:t xml:space="preserve">по следующим показателям: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spacing w:line="276" w:lineRule="auto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оборудовано водопроводом – прирост на 1,5 процентных пункта;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spacing w:line="276" w:lineRule="auto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оборудовано канализацией – прирост 1,2 процентных пункта;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spacing w:line="276" w:lineRule="auto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оборудовано отоплением – прирост на 2,3 процентных пункта;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spacing w:line="276" w:lineRule="auto"/>
        <w:ind w:firstLine="709"/>
        <w:jc w:val="both"/>
        <w:rPr>
          <w:rStyle w:val="1147"/>
          <w:rFonts w:ascii="Times New Roman" w:hAnsi="Times New Roman" w:cs="Times New Roman"/>
          <w:sz w:val="28"/>
          <w:szCs w:val="28"/>
        </w:rPr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оборудовано горячим водоснабжением – прирост на 2,6 </w:t>
      </w:r>
      <w:r>
        <w:rPr>
          <w:rStyle w:val="1147"/>
          <w:rFonts w:ascii="Times New Roman" w:hAnsi="Times New Roman" w:cs="Times New Roman"/>
          <w:sz w:val="28"/>
          <w:szCs w:val="28"/>
        </w:rPr>
        <w:t xml:space="preserve">процентных пункта;</w:t>
      </w:r>
      <w:r>
        <w:rPr>
          <w:rStyle w:val="1147"/>
          <w:rFonts w:ascii="Times New Roman" w:hAnsi="Times New Roman" w:cs="Times New Roman"/>
          <w:sz w:val="28"/>
          <w:szCs w:val="28"/>
        </w:rPr>
      </w:r>
      <w:r>
        <w:rPr>
          <w:rStyle w:val="1147"/>
          <w:rFonts w:ascii="Times New Roman" w:hAnsi="Times New Roman" w:cs="Times New Roman"/>
          <w:sz w:val="28"/>
          <w:szCs w:val="28"/>
        </w:rPr>
      </w:r>
    </w:p>
    <w:p>
      <w:pPr>
        <w:pStyle w:val="1146"/>
        <w:shd w:val="clear" w:color="auto" w:fill="ffffff"/>
        <w:spacing w:after="159" w:line="276" w:lineRule="auto"/>
        <w:ind w:firstLine="709"/>
        <w:jc w:val="both"/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Падение уровня благоустройства наблюдается в показателе оборудовано газом – снижение на 3,5 процентных пункта (таблица 6).</w:t>
      </w:r>
    </w:p>
    <w:p>
      <w:pPr>
        <w:pStyle w:val="1146"/>
        <w:shd w:val="clear" w:color="auto" w:fill="ffffff"/>
        <w:ind w:left="-142"/>
        <w:jc w:val="both"/>
      </w:pPr>
      <w:r>
        <w:rPr>
          <w:rStyle w:val="1147"/>
          <w:rFonts w:ascii="Times New Roman" w:hAnsi="Times New Roman" w:cs="Times New Roman"/>
          <w:sz w:val="28"/>
          <w:szCs w:val="28"/>
        </w:rPr>
        <w:t xml:space="preserve">Таблица 6. Динамика уровня благоустройства жилищного фонда за период 2020-2024 год</w:t>
      </w:r>
    </w:p>
    <w:tbl>
      <w:tblPr>
        <w:tblStyle w:val="1033"/>
        <w:tblW w:w="0" w:type="auto"/>
        <w:tblLayout w:type="fixed"/>
        <w:tblLook w:val="04A0" w:firstRow="1" w:lastRow="0" w:firstColumn="1" w:lastColumn="0" w:noHBand="0" w:noVBand="1"/>
      </w:tblPr>
      <w:tblGrid>
        <w:gridCol w:w="3225"/>
        <w:gridCol w:w="1269"/>
        <w:gridCol w:w="1269"/>
        <w:gridCol w:w="1269"/>
        <w:gridCol w:w="1269"/>
        <w:gridCol w:w="1269"/>
      </w:tblGrid>
      <w:tr>
        <w:trPr>
          <w:trHeight w:val="584"/>
        </w:trPr>
        <w:tblPrEx/>
        <w:tc>
          <w:tcPr>
            <w:tcW w:w="322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both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Наименование показателя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2020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го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д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2021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год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2022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год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2023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год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2024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год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584"/>
        </w:trPr>
        <w:tblPrEx/>
        <w:tc>
          <w:tcPr>
            <w:tcW w:w="322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both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Оборудовано водопроводом, %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52,9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53,1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54,1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54,2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54,4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84"/>
        </w:trPr>
        <w:tblPrEx/>
        <w:tc>
          <w:tcPr>
            <w:tcW w:w="322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both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Оборудовано канализацией, %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51,3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51,2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52,3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52,5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52,5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84"/>
        </w:trPr>
        <w:tblPrEx/>
        <w:tc>
          <w:tcPr>
            <w:tcW w:w="322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both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Оборудовано отоплением, %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53,7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54,1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56,3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56,3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56,0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84"/>
        </w:trPr>
        <w:tblPrEx/>
        <w:tc>
          <w:tcPr>
            <w:tcW w:w="322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both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Оборудовано газом, %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26,1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22,9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22,8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22,6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22,6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84"/>
        </w:trPr>
        <w:tblPrEx/>
        <w:tc>
          <w:tcPr>
            <w:tcW w:w="3225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both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Оборудовано горячим водоснабжением, %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44,5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45,1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45,5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45,6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69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47,1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before="240" w:after="0" w:line="276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Основные макроэкономические показатели</w:t>
      </w:r>
      <w:r>
        <w:rPr>
          <w:rFonts w:ascii="Times New Roman" w:hAnsi="Times New Roman" w:cs="Times New Roman"/>
          <w:i/>
          <w:iCs/>
          <w:sz w:val="28"/>
          <w:szCs w:val="28"/>
        </w:rPr>
      </w:r>
      <w:r>
        <w:rPr>
          <w:rFonts w:ascii="Times New Roman" w:hAnsi="Times New Roman" w:cs="Times New Roman"/>
          <w:i/>
          <w:iCs/>
          <w:sz w:val="28"/>
          <w:szCs w:val="28"/>
        </w:rPr>
      </w:r>
    </w:p>
    <w:p>
      <w:pPr>
        <w:pStyle w:val="1146"/>
        <w:shd w:val="clear" w:color="auto" w:fill="ffffff"/>
        <w:spacing w:after="159" w:line="276" w:lineRule="auto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Динамика ключевых индикаторов экономического развития Забайкальского края в 2020-2024 годы характеризуется устойчивым ростом: ВРП</w:t>
      </w:r>
      <w:r>
        <w:rPr>
          <w:rStyle w:val="1149"/>
          <w:rFonts w:ascii="Times New Roman" w:hAnsi="Times New Roman" w:cs="Times New Roman"/>
          <w:shd w:val="clear" w:color="auto" w:fill="ffffff"/>
        </w:rPr>
        <w:footnoteReference w:id="6"/>
      </w:r>
      <w:r>
        <w:rPr>
          <w:rStyle w:val="1149"/>
          <w:rFonts w:ascii="Times New Roman" w:hAnsi="Times New Roman" w:cs="Times New Roman"/>
          <w:shd w:val="clear" w:color="auto" w:fill="ffffff"/>
        </w:rPr>
        <w:t xml:space="preserve">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увеличился на 72,3 %, объем промышленного производства на 15,7 %, инвестиции в основной капитал на 152,2 %, строительство на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 65,9 %, объем внешнеторговых операций на 19%, объем налоговых и неналоговых доходов консолидированного бюджета на 102,0 % (таблица 7).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widowControl w:val="off"/>
        <w:spacing w:after="0" w:line="240" w:lineRule="auto"/>
        <w:ind w:right="-11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7. Основные макроэкономические показатели Забайкальского края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35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3271"/>
        <w:gridCol w:w="1217"/>
        <w:gridCol w:w="1217"/>
        <w:gridCol w:w="1217"/>
        <w:gridCol w:w="1217"/>
        <w:gridCol w:w="1217"/>
      </w:tblGrid>
      <w:tr>
        <w:trPr>
          <w:trHeight w:val="540"/>
          <w:tblHeader/>
        </w:trPr>
        <w:tblPrEx/>
        <w:tc>
          <w:tcPr>
            <w:tcW w:w="3269" w:type="dxa"/>
            <w:noWrap w:val="false"/>
            <w:textDirection w:val="lrTb"/>
            <w:vAlign w:val="center"/>
          </w:tcPr>
          <w:p>
            <w:pPr>
              <w:spacing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1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ВРП,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млрд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425,4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517,3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547,2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624,0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733,0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Промышленное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производство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млрд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245,8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289,8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318,6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387,7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552,1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Объем выполненных строительных работ, млрд 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44,5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47,6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63,8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83,2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79,9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Оборот розничной торговли, млрд 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174,1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197,8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228,3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244,2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272,7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Продукция сельского хозяйства, млрд 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23,2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24,5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27,9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27,9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28,4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Инвестиции в основной капитал, млрд 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126,9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161,5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187,3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305,3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320,1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944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Численность занятых (в возрасте 15-72 лет), тыс. человек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2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472,4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473,8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495,0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483,2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479,3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Уровень общей безработицы (по методологии МОТ), %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9,8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8,7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6,9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5,6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highlight w:val="green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Численность занятых в сфере малого и среднего предпринимательства,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включая индивидуальных предпринимателей и самозанятых, единиц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br/>
              <w:t xml:space="preserve">на 31 декабря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green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green"/>
                <w:lang w:val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96 181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94 421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104 237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113 036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122 729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Экспорт, млн долларов США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1 074,2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1 458,1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1314,2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1115,8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1416,7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Импорт, млн долларов США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445,3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633,3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303,2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369,6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392,8</w:t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3269" w:type="dxa"/>
            <w:shd w:val="clear" w:color="auto" w:fill="auto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Объем налоговых и неналоговых доходов консолидированного бюджета, млрд рублей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50,9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61,0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63, 6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91,8 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1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102, 8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</w:tbl>
    <w:p>
      <w:pPr>
        <w:widowControl w:val="off"/>
        <w:spacing w:before="20" w:after="0" w:line="240" w:lineRule="auto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i/>
          <w:iCs/>
          <w:sz w:val="20"/>
          <w:szCs w:val="20"/>
        </w:rPr>
        <w:t xml:space="preserve">*По оценке Министерства труда и социальной защиты населения Забайкальского края</w:t>
      </w:r>
      <w:r>
        <w:rPr>
          <w:rFonts w:ascii="Times New Roman" w:hAnsi="Times New Roman" w:eastAsia="Times New Roman" w:cs="Times New Roman"/>
          <w:sz w:val="20"/>
          <w:szCs w:val="20"/>
        </w:rPr>
      </w:r>
      <w:r>
        <w:rPr>
          <w:rFonts w:ascii="Times New Roman" w:hAnsi="Times New Roman" w:eastAsia="Times New Roman" w:cs="Times New Roman"/>
          <w:sz w:val="20"/>
          <w:szCs w:val="20"/>
        </w:rPr>
      </w:r>
    </w:p>
    <w:p>
      <w:pPr>
        <w:shd w:val="clear" w:color="auto" w:fill="ffffff"/>
        <w:spacing w:before="240" w:line="276" w:lineRule="auto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Экономика края демонстрировала развитие, опережающее среднероссийскую динамику, при этом темпы роста основных показателей заметно выше, чем в среднем по стране и федеральному о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кругу, вследствие низкой базы предшествующих лет и старта реализации крупных проектов по добыче полезных 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ископаемых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(таблица 8).</w:t>
      </w:r>
      <w:r>
        <w:rPr>
          <w:rFonts w:ascii="Times New Roman" w:hAnsi="Times New Roman" w:cs="Times New Roman"/>
          <w:shd w:val="clear" w:color="auto" w:fill="ffffff"/>
        </w:rPr>
      </w:r>
      <w:r>
        <w:rPr>
          <w:rFonts w:ascii="Times New Roman" w:hAnsi="Times New Roman" w:cs="Times New Roman"/>
          <w:shd w:val="clear" w:color="auto" w:fill="ffffff"/>
        </w:rPr>
      </w:r>
    </w:p>
    <w:p>
      <w:pPr>
        <w:shd w:val="clear" w:color="auto" w:fill="ffffff"/>
        <w:spacing w:after="0"/>
        <w:jc w:val="both"/>
        <w:rPr>
          <w:rFonts w:ascii="Times New Roman" w:hAnsi="Times New Roman" w:eastAsia="Times New Roman" w:cs="Times New Roman"/>
          <w:sz w:val="28"/>
          <w:szCs w:val="28"/>
        </w:rPr>
      </w:pPr>
      <w:bookmarkStart w:id="32" w:name="_Hlk112959091"/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8. Индексы физического объема в 2024 году к 2019 году, %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35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2977"/>
        <w:gridCol w:w="2126"/>
        <w:gridCol w:w="2126"/>
        <w:gridCol w:w="2127"/>
      </w:tblGrid>
      <w:tr>
        <w:trPr>
          <w:trHeight w:val="540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Забайкальский край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Дальневосточный федеральный округ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Российская Федерация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ВРП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*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168,9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169,6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165,2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Промышленное производство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115,7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104,0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114,3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Строительство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165,9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126,4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130,7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Розничная торговля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103,8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112,9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113,0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Сельское хозяйство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highlight w:val="none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highlight w:val="none"/>
                <w:shd w:val="clear" w:color="auto" w:fill="ffffff"/>
              </w:rPr>
              <w:t xml:space="preserve">81,3</w:t>
            </w:r>
            <w:r>
              <w:rPr>
                <w:highlight w:val="none"/>
                <w:shd w:val="clear" w:color="auto" w:fill="ffffff"/>
              </w:rPr>
            </w:r>
            <w:r>
              <w:rPr>
                <w:highlight w:val="none"/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110,2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108,6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Инвестиции в основной капитал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332,8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118,9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115,3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2977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Внешнеторговый оборот**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119,1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6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108,8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2127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ind w:firstLine="709"/>
              <w:jc w:val="both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hd w:val="clear" w:color="auto" w:fill="ffffff"/>
              </w:rPr>
              <w:t xml:space="preserve">114,1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</w:tbl>
    <w:p>
      <w:pPr>
        <w:widowControl w:val="off"/>
        <w:spacing w:after="0" w:line="240" w:lineRule="auto"/>
        <w:ind w:right="228"/>
        <w:jc w:val="both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* индекс физического объема за 2018-2020 годы</w:t>
      </w:r>
      <w:r>
        <w:rPr>
          <w:rFonts w:ascii="Times New Roman" w:hAnsi="Times New Roman" w:eastAsia="Times New Roman" w:cs="Times New Roman"/>
          <w:i/>
          <w:sz w:val="20"/>
          <w:szCs w:val="20"/>
        </w:rPr>
      </w:r>
      <w:r>
        <w:rPr>
          <w:rFonts w:ascii="Times New Roman" w:hAnsi="Times New Roman" w:eastAsia="Times New Roman" w:cs="Times New Roman"/>
          <w:i/>
          <w:sz w:val="20"/>
          <w:szCs w:val="20"/>
        </w:rPr>
      </w:r>
    </w:p>
    <w:p>
      <w:pPr>
        <w:widowControl w:val="off"/>
        <w:spacing w:after="0" w:line="240" w:lineRule="auto"/>
        <w:ind w:right="228"/>
        <w:jc w:val="both"/>
        <w:rPr>
          <w:rFonts w:ascii="Times New Roman" w:hAnsi="Times New Roman" w:eastAsia="Times New Roman" w:cs="Times New Roman"/>
          <w:i/>
          <w:sz w:val="20"/>
          <w:szCs w:val="20"/>
        </w:rPr>
      </w:pPr>
      <w:r>
        <w:rPr>
          <w:rFonts w:ascii="Times New Roman" w:hAnsi="Times New Roman" w:eastAsia="Times New Roman" w:cs="Times New Roman"/>
          <w:i/>
          <w:sz w:val="20"/>
          <w:szCs w:val="20"/>
        </w:rPr>
        <w:t xml:space="preserve">** темп роста в стоимостном выражении</w:t>
      </w:r>
      <w:bookmarkEnd w:id="32"/>
      <w:r>
        <w:rPr>
          <w:rFonts w:ascii="Times New Roman" w:hAnsi="Times New Roman" w:eastAsia="Times New Roman" w:cs="Times New Roman"/>
          <w:i/>
          <w:sz w:val="20"/>
          <w:szCs w:val="20"/>
        </w:rPr>
      </w:r>
      <w:r>
        <w:rPr>
          <w:rFonts w:ascii="Times New Roman" w:hAnsi="Times New Roman" w:eastAsia="Times New Roman" w:cs="Times New Roman"/>
          <w:i/>
          <w:sz w:val="20"/>
          <w:szCs w:val="20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В структуре ВРП Заба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йкальского края преобладают сектор добычи полезных ископаемых и сервисные виды деятельности – транспортировка и хранение, торговля, услуги по государственному управлению и социальному обеспечению (таблица 9). При этом заметна тенденция к увеличению роли в 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формировании валовой добавленной стоимости добывающих отраслей при уменьшении вклада других структурообразующих видов экономической деятельности.</w:t>
      </w:r>
      <w:r>
        <w:rPr>
          <w:shd w:val="clear" w:color="auto" w:fill="ffffff"/>
        </w:rPr>
      </w:r>
      <w:r>
        <w:rPr>
          <w:shd w:val="clear" w:color="auto" w:fill="ffffff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9. Структура ВРП Забайкальского края, %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356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5031"/>
        <w:gridCol w:w="1081"/>
        <w:gridCol w:w="1081"/>
        <w:gridCol w:w="1081"/>
        <w:gridCol w:w="1082"/>
      </w:tblGrid>
      <w:tr>
        <w:trPr>
          <w:trHeight w:val="543"/>
          <w:tblHeader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spacing w:line="240" w:lineRule="auto"/>
              <w:ind w:right="218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  <w:t xml:space="preserve">Вид экономической деятельности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val="ru-RU"/>
              </w:rPr>
            </w:r>
          </w:p>
        </w:tc>
        <w:tc>
          <w:tcPr>
            <w:tcW w:w="122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2020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2021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2022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2023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Сельское, лесное хозяйство, охота, рыболовство и рыбоводство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Добыча полезных ископаемых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25,9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28,2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24,3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25,9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Обрабатывающие производства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Обеспечение электрической энергией, газом и паром; кондиционирование воздуха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Строительство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Торговля оптовая и розничная; ремонт автотранспортных средств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Транспортировка и хранение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15,7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15,0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Государственное управление и обеспечение военной безопасности; социальное обеспечение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10,7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Образование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Деятельность в области здравоохранения и социальных услуг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6,2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5,2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5695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Прочие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15,3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16,9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14,7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2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14,0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</w:tbl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долю предприятий по добыче полезных ископаемых по итогам 2024 года приходится 81,4 % объема промышленного производства. Из общего объема добываемых ресурсов около 85 % составляют металлические руды. В 2020-2024 годы сектор демонстрирует наиболее динамич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ное развитие – объем производства вырос на 20,7 %, что на 23,7 процентных пункта превышает его динамику в целом по стране и на 17,8 процентных пункта по макрорегиону.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обрабатывающем производстве, на долю которого в структуре промышленности края приходится 10,4 %, за анализируемый период наблюдается сокращение объемов производства на 12,7 %. 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Электроэнергетика с долей 7,3 % также является значимым сектором промышленнос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 края. Темп роста по виду экономической деятельности «Обеспечение электрической энергией, газом и паром; кондиционирование воздуха» за четыре года составил 101,6 % к уровню 2020 года.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Объем отгруженных товаров собственного производства, выполненных работ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услуг сферы промышленности в структуре ВРП в 2023 году составила 62%, показатель вырос на 21% за период с 2022 по 2023 годы при росте ВРП на 14%.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обрабатывающем производстве, на долю которого в структуре промышленности края приходится 11,0 %, за анали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зируемый период наблюдается прирост объемов производства на 0,3 %.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Электроэнергетика с долей 12,3 % также является значимым сектором промышленности края. 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Доля сельского хозяйства в ВРП края не высока – 2,8 %, при этом доля занятых по виду экономической деятельности «Растениеводство и животноводство, охота и предоставление соответствующих услуг в этих областях» в 2023 году составила 7,3 % общего числа заняты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х в экономике края, что больше, чем в среднем по стране (6,0 %) и макрорегиону (6,3 %).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Край занимает лидирующие позиции в федеральном округе по выращиванию рапса (82 % урожая макрорегиона в 2024 году), гречихи (70 %) и овса (33 %), а также является самым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крупным из регионов федерального округа производителем скота и птицы на убой в живом весе (45,1 %).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Важнейшими факторами, определяющими экономическую динамику региона, являются инвестиционные ресурсы. Инвестиционная активность в крае в последние годы росла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темпами, опережающими динамику по стране и федеральному округу (таблица 10). 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Приоритетными секторами экономики Забайкальского края для инвестиционных вложений являются промышленность, транспортировка и хранение. 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течение анализируемого периода в направ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лениях инвестиционных процессов отмечается структурный сдвиг на развитие обрабатывающих производств при сокращении доли вложений в добычу полезных ископаемых.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Таблица 10. Структура инвестиций в основной капитал Забайкальского края, %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tbl>
      <w:tblPr>
        <w:tblStyle w:val="1129"/>
        <w:tblW w:w="9321" w:type="dxa"/>
        <w:tblInd w:w="-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829"/>
        <w:gridCol w:w="1123"/>
        <w:gridCol w:w="1123"/>
        <w:gridCol w:w="1123"/>
        <w:gridCol w:w="1123"/>
      </w:tblGrid>
      <w:tr>
        <w:trPr>
          <w:trHeight w:val="414"/>
          <w:tblHeader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Вид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экономической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дея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тельности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2021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123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2022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123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2023 год</w:t>
            </w:r>
            <w:r>
              <w:rPr>
                <w:shd w:val="clear" w:color="auto" w:fill="ffffff"/>
              </w:rPr>
            </w:r>
            <w:r>
              <w:rPr>
                <w:shd w:val="clear" w:color="auto" w:fill="ffffff"/>
              </w:rPr>
            </w:r>
          </w:p>
        </w:tc>
        <w:tc>
          <w:tcPr>
            <w:tcW w:w="1123" w:type="dxa"/>
            <w:tcBorders>
              <w:top w:val="single" w:color="auto" w:sz="8" w:space="0"/>
              <w:left w:val="none" w:color="000000" w:sz="4" w:space="0"/>
              <w:bottom w:val="single" w:color="auto" w:sz="4" w:space="0"/>
              <w:right w:val="single" w:color="auto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2024 год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Добыча полезных ископаемых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15,8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42,2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12,4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17,2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Обрабатывающие производства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36,1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37,4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26,5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Обеспечение электрической энергией, газом и паром; кондиционирование воздуха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4,6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</w:pBd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8,3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Транспортировка и хранение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27,7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27,0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25,1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13,1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Строительство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7,1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Деятельность в области информации и связи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4,2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Сельское, лесное хозяйство, охота, рыболовство и рыбоводство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0,2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29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Государственное управление и обеспечение военной безопасности; социальное обеспечение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Образование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Деятельность в области здравоохранения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и социальных услуг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0,8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55"/>
        </w:trPr>
        <w:tblPrEx/>
        <w:tc>
          <w:tcPr>
            <w:tcW w:w="4828" w:type="dxa"/>
            <w:noWrap w:val="false"/>
            <w:textDirection w:val="lrTb"/>
            <w:vAlign w:val="center"/>
          </w:tcPr>
          <w:p>
            <w:pPr>
              <w:widowControl/>
              <w:spacing w:line="240" w:lineRule="auto"/>
              <w:ind w:left="113"/>
              <w:contextualSpacing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 w:eastAsia="ru-RU"/>
              </w:rPr>
              <w:t xml:space="preserve">Прочие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val="ru-RU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8,4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12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19,9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структуре источников финансирования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апиталовложений отмечается устойчивый рост значимости собственных средств, их доля за четыре года снизилась на 2,3 процентных пункта до 36,2 % в 2024 году. Удельный вес бюджетных инвестиций составил 21 % такой же показатель наблюдался в 2023 и 2022 годах. 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2019 году постановлением Правительства Российской Федерации от 31 июля 2019 года № 988 «О создании территории опережающего социально-экономического развития «Забайкалье» в Забайкальском крае созданы 2 территории опережающего развития «Забайкалье» и «Кра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снокаменск». В настоящее время ТОР охватывает все муниципальные образования края. Режим ТОР – особый правовой режим осуществления предпринимательской и иной деятельности на выделенных территориях Российской Федерации, который осуществляется в соответствии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Федеральным законом от 29 декабря 2014 года № 473-ФЗ «О территориях опережающего развития в Российской Федерации». ТОР является универсальным инструментом поддержки инвесторов, на основе которого созданы одни из лучших условий для осуществления предпринима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тельской деятельности на Дальнем Востоке, в том числе и в Забайкальском крае. Для резидентов ТОР представляются: налоговые льготы (по налогу на прибыль организаций, налогу на имущество, земельному налогу, налогу на добычу полезных ископаемых, страховым взн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осам); таможенные преференции (возможность применения процедуры свободной таможенной зоны); административные преференции. Также на льготных условиях предоставляются земельные участки для реализации проектов. Кроме того, инфраструктура может быть создана за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счет (или при участии) средств федерального и регионального бюджетов. В рамках преференциального режима ТОР в настоящее время в Забайкальском крае реализуются инвестиционные проекты в значимых отраслях экономики: сельское хозяйство и пищевая промышленност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ь, логистика, добыча и переработка полезных ископаемых, строительная отрасль и другие.1. 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состоянию на май 2025 года количество резидентов ТОР «Забайкалье», «Краснокаменск» – 93.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Общий объем инвестиций в соответствии с заключенными соглашениями составляет 903 млрд руб. (инвестировано – 380 млрд руб.), планируется создание 33 531 тыс. рабочих мест (создано – 13 740 тыс.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рабочих мест).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По состоянию на 6 мая 2025 года, на ТОР «Забайка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лье» приходится 86 резидентов, общий объем инвестиций в соответствии с заключенными соглашениями составляет 888,5 млрд. руб. (инвестировано - 371,3 млрд. руб.) планируется создание 32 219 рабочих мест, уже создано - 13 461 рабочих мест.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Основными инвестици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онными проектами, которые реализуются на территории ТОР «Забайкалье» и входят в топ-5 являются: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Удоканская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медь»;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«Промышленные инвестиции»;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Култуминское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Серебрянное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Любавинское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2013 году компаниями ЭН+ и CHN Energy была создана компания 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Разрезуголь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», которая получила 2 лицензии на право пользования недрами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Зашуланского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месторождения каменного энергетического угля в Забайкальском крае. В 2020 году 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Разрезуголь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 стало ре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зидентом ТОР «Забайкалье».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 ТОР «Краснокаменск» приходится 7 резидентов, общий объем инвестиций в соответствии с заключенными соглашениями составляет 14,8 млрд. руб. (инвестировано 9,5 млрд. руб.) планируется создание 1312 рабочих мест, уже создано 279 р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абочих мест.</w:t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Основными инвестиционными проектами, которые реализуются на территории ТОР «Краснокаменск» и входят в топ-5 являются: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ПАО «ППГХО»;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«ПК «Краснокаменские полимеры»;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Экопромсортировка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РапсОлия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tabs>
          <w:tab w:val="left" w:pos="9072" w:leader="none"/>
        </w:tabs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ООО «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Экопромгаз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».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146"/>
        <w:shd w:val="clear" w:color="auto" w:fill="ffffff"/>
        <w:spacing w:after="159"/>
        <w:ind w:firstLine="709"/>
        <w:jc w:val="both"/>
        <w:rPr>
          <w:rStyle w:val="1147"/>
          <w:rFonts w:ascii="Times New Roman" w:hAnsi="Times New Roman" w:cs="Times New Roman"/>
          <w:i/>
          <w:iCs/>
          <w:sz w:val="28"/>
          <w:szCs w:val="28"/>
          <w:highlight w:val="green"/>
          <w:shd w:val="clear" w:color="auto" w:fill="ffffff"/>
        </w:rPr>
      </w:pP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Для усиления поте</w:t>
      </w:r>
      <w:r>
        <w:rPr>
          <w:rStyle w:val="1147"/>
          <w:rFonts w:ascii="Times New Roman" w:hAnsi="Times New Roman" w:cs="Times New Roman"/>
          <w:sz w:val="28"/>
          <w:shd w:val="clear" w:color="auto" w:fill="ffffff"/>
        </w:rPr>
        <w:t xml:space="preserve">нциала развития ТОР в рамках Комплексной программы ускоренного социально-экономического развития Забайкальского края</w:t>
      </w:r>
      <w:r>
        <w:rPr>
          <w:rStyle w:val="1147"/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2025 года и на перспективу до 2035 года предусмотрено создание промышленных парков.</w:t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highlight w:val="green"/>
          <w:shd w:val="clear" w:color="auto" w:fill="ffffff"/>
        </w:rPr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highlight w:val="green"/>
          <w:shd w:val="clear" w:color="auto" w:fill="ffffff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bCs/>
          <w:i/>
          <w:sz w:val="28"/>
          <w:szCs w:val="28"/>
          <w:highlight w:val="red"/>
        </w:rPr>
      </w:pP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Малое и среднее предпринимательство</w:t>
      </w:r>
      <w:r>
        <w:rPr>
          <w:rStyle w:val="1147"/>
          <w:rFonts w:ascii="Times New Roman" w:hAnsi="Times New Roman" w:cs="Times New Roman"/>
          <w:bCs/>
          <w:i/>
          <w:sz w:val="28"/>
          <w:szCs w:val="28"/>
          <w:highlight w:val="red"/>
        </w:rPr>
      </w:r>
      <w:r>
        <w:rPr>
          <w:rStyle w:val="1147"/>
          <w:rFonts w:ascii="Times New Roman" w:hAnsi="Times New Roman" w:cs="Times New Roman"/>
          <w:bCs/>
          <w:i/>
          <w:sz w:val="28"/>
          <w:szCs w:val="28"/>
          <w:highlight w:val="red"/>
        </w:rPr>
      </w:r>
    </w:p>
    <w:p>
      <w:pPr>
        <w:pStyle w:val="1146"/>
        <w:shd w:val="clear" w:color="auto" w:fill="ffffff"/>
        <w:ind w:firstLine="709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2024 году на 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ерритории края функционировало 30,2 тыс. единиц МСП, что ниже показателя 2012 года (35,7 тыс. единиц) на 15 %. При этом численность занятых в МСП увеличилась на 20,8 % и составила в 2024 году 122,7 тыс. человек (в 2012 году – 101,6 тыс. человек). Доля МСП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ВРП края в 2024 году и составила 17,0 %, что выше на 8,5 процентных пунктов чем в 2012 году (8,5 %), но ниже уровня по ДФО и России.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pStyle w:val="1146"/>
        <w:shd w:val="clear" w:color="auto" w:fill="ffffff"/>
        <w:spacing w:after="159"/>
        <w:ind w:firstLine="709"/>
        <w:jc w:val="both"/>
        <w:rPr>
          <w:rStyle w:val="1147"/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рейтинге регионов России по вовлеченности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населения в малый и средний бизнес за 2024 год Забайкальский край занимает одно из последних мест, а именно 73 из 85. Поэтому необходимо создать в Забайкальском крае 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 xml:space="preserve">благоприятные условия для стимулирования развития малого и среднего предпринимательства.</w:t>
      </w:r>
      <w:r>
        <w:rPr>
          <w:rStyle w:val="1147"/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white"/>
        </w:rPr>
      </w:r>
      <w:r>
        <w:rPr>
          <w:rStyle w:val="1147"/>
          <w:rFonts w:ascii="Times New Roman" w:hAnsi="Times New Roman" w:cs="Times New Roman"/>
          <w:bCs/>
          <w:i/>
          <w:color w:val="000000" w:themeColor="text1"/>
          <w:sz w:val="28"/>
          <w:szCs w:val="28"/>
          <w:highlight w:val="white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Г</w:t>
      </w: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орно-металлургический комплекс</w:t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Развитие добывающей отрасли является основным драйвером роста экономики и промышленного производства в Забайкальском крае. Ее доля в общем объеме добывающей отрасли Российской Федерации выросла более чем в 4 раза с 0,29 % в 2</w:t>
      </w:r>
      <w:r>
        <w:rPr>
          <w:rFonts w:ascii="Times New Roman" w:hAnsi="Times New Roman" w:eastAsia="Calibri" w:cs="Times New Roman"/>
          <w:sz w:val="28"/>
          <w:szCs w:val="28"/>
        </w:rPr>
        <w:t xml:space="preserve">005 году до 1,21 % в 2020 году, что объясняется высоким ресурсным потенциалом региона. В динамике за последние пять лет объемы отрасли увеличились в 2,6 раза, в структуре объема отгруженной продукции промышленности доля отрасли увеличилась с 58 % (82,2 млр</w:t>
      </w:r>
      <w:r>
        <w:rPr>
          <w:rFonts w:ascii="Times New Roman" w:hAnsi="Times New Roman" w:eastAsia="Calibri" w:cs="Times New Roman"/>
          <w:sz w:val="28"/>
          <w:szCs w:val="28"/>
        </w:rPr>
        <w:t xml:space="preserve">д руб. в 2017 году) до 75 % (214,2 млрд руб. в 2021 году). В структуре валовой добавленной стоимости добывающая отрасль входит в тройку лидеров отраслей Забайкальского края. Основные ограничения развития горнорудной промышленности в регионе связаны с низко</w:t>
      </w:r>
      <w:r>
        <w:rPr>
          <w:rFonts w:ascii="Times New Roman" w:hAnsi="Times New Roman" w:eastAsia="Calibri" w:cs="Times New Roman"/>
          <w:sz w:val="28"/>
          <w:szCs w:val="28"/>
        </w:rPr>
        <w:t xml:space="preserve">й долей вовлечения в экономический оборот балансовых запасов минерально-сырьевых ресурсов: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40 % балансовых запасов золота;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11 % балансовых запасов железной руды;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9 % балансовых запасов меди;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30 % балансовых запасов угля;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14 % балансовых запасов серебра;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29 % балансовых запасов цинка;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25 % балансовых запасов урана;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28 % балансовых запасов свинца.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Для реализации потенциала использования запасов минерально-сырьевых ресурсов необходимо устранить следующие ограничения: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первого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приоритета: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уменьшение количества молодых специалистов по горным специальностям, отсутствие – по геохимии и геофизике; 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отток квалифицированных кадров в другие регионы с более высоким уровнем зарплаты на сезонные вахтовые работы;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низкая квалификация рабоче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й силы в регионе;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импортозависимость</w:t>
      </w:r>
      <w:r>
        <w:rPr>
          <w:rFonts w:ascii="Times New Roman" w:hAnsi="Times New Roman" w:eastAsia="Calibri" w:cs="Times New Roman"/>
          <w:sz w:val="28"/>
          <w:szCs w:val="28"/>
        </w:rPr>
        <w:t xml:space="preserve"> от оборудования и запасных частей – до 80 % в условиях введения экономических санкций на импорт спецтехники и запчастей;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при выдаче и актуализации лицензии отсутствует требование по фиксации сроков проведения этапов раб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от по разработке месторождения;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ухудшение состояния минерально-сырьевой базы вследствие отсутствия системной геологоразведки;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отсутствие инфраструктуры для эксплуатации месторождений нераспределенного фонда;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загрязнение воздуха, водных и земельных ресурсов</w:t>
      </w:r>
      <w:r>
        <w:rPr>
          <w:rFonts w:ascii="Times New Roman" w:hAnsi="Times New Roman" w:eastAsia="Calibri" w:cs="Times New Roman"/>
          <w:sz w:val="28"/>
          <w:szCs w:val="28"/>
        </w:rPr>
        <w:t xml:space="preserve">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второго приоритета: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высокая себестоимость энергоресурсов;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высокая длительность получения разрешительных документов для пользователей недрами.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159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настоящее время переработка основных руд в Забайкальском крае заканчивается их обогащением и получением концентратов минерального сырья. Потенциал развития отрасли связан с увеличением глубины переработки добываемых металлов за счет модернизации текущих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процессов производства и строительства нового производства, направленного на получение из концентратов готовой продукции.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Развитие лесного комплекса</w:t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Забайкальский край характеризуется высоким уровнем лесистости – свыше 68 % площади земли края покрыто лесно</w:t>
      </w:r>
      <w:r>
        <w:rPr>
          <w:rFonts w:ascii="Times New Roman" w:hAnsi="Times New Roman" w:cs="Times New Roman"/>
          <w:bCs/>
          <w:sz w:val="28"/>
          <w:szCs w:val="28"/>
        </w:rPr>
        <w:t xml:space="preserve">й растительностью (по ДФО и Российской Федерации в 2021 году – 49,6 % и 46,4 % соответственно).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структуре общей лесосеки доля лиственницы и сосны – 78 %, эффективность использования лесных ресурсов недостаточна (в 2020 году предоставлено в аренду 18 % площади расчетной лесосеки). Ограничивающими факторами являются низкое качество лесов, истощение л</w:t>
      </w:r>
      <w:r>
        <w:rPr>
          <w:rFonts w:ascii="Times New Roman" w:hAnsi="Times New Roman" w:cs="Times New Roman"/>
          <w:bCs/>
          <w:sz w:val="28"/>
          <w:szCs w:val="28"/>
        </w:rPr>
        <w:t xml:space="preserve">есосырьевых ресурсов на экономически доступных территориях, устаревание материалов лесоустройства.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Отходы при заготовке и распиловке составляют 55 % в структуре отходов при заготовке древесины. На территории региона начата реализация проектов переработки о</w:t>
      </w:r>
      <w:r>
        <w:rPr>
          <w:rFonts w:ascii="Times New Roman" w:hAnsi="Times New Roman" w:cs="Times New Roman"/>
          <w:bCs/>
          <w:sz w:val="28"/>
          <w:szCs w:val="28"/>
        </w:rPr>
        <w:t xml:space="preserve">тходов, 7 % данных отходов перерабатываются в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пеллеты</w:t>
      </w:r>
      <w:r>
        <w:rPr>
          <w:rFonts w:ascii="Times New Roman" w:hAnsi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Объем заготовки древесины в 2021 году составил 1373 тыс. метров кубических (на 11 % ниже объема заготовки 2020 года). Сформированный в 2017-2021 годах тренд на снижение объемов легитимно заготовленной </w:t>
      </w:r>
      <w:r>
        <w:rPr>
          <w:rFonts w:ascii="Times New Roman" w:hAnsi="Times New Roman" w:cs="Times New Roman"/>
          <w:bCs/>
          <w:sz w:val="28"/>
          <w:szCs w:val="28"/>
        </w:rPr>
        <w:t xml:space="preserve">древесины обусловлен развернутой борьбой с незаконными рубками, пандемией COVID-19, которая определила высокую степень неопределенности экспортного спроса на товарный лес, введением заградительных пошлин и иных ограничивающих экспорт древесины мер государс</w:t>
      </w:r>
      <w:r>
        <w:rPr>
          <w:rFonts w:ascii="Times New Roman" w:hAnsi="Times New Roman" w:cs="Times New Roman"/>
          <w:bCs/>
          <w:sz w:val="28"/>
          <w:szCs w:val="28"/>
        </w:rPr>
        <w:t xml:space="preserve">твенного регулирования. Ограничивающий фактор также большое количество осадков в периоде 2020-2021 годы в совокупности с недостатком лесохозяйственных дорог на участках арендаторов, в том числе труднодоступных и удаленных, 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Отмечается динамика снижения экс</w:t>
      </w:r>
      <w:r>
        <w:rPr>
          <w:rFonts w:ascii="Times New Roman" w:hAnsi="Times New Roman" w:cs="Times New Roman"/>
          <w:bCs/>
          <w:sz w:val="28"/>
          <w:szCs w:val="28"/>
        </w:rPr>
        <w:t xml:space="preserve">порта, переориентация поставок древесины и пиломатериалов с внешнего на внутренний рынок. В 2021 году на экспорт отправлено 137 тыс. метров кубических – на 40 % ниже, чем в 2020 году (в 2017 году – 546 тыс. метров кубических). На внешнем рынке основным нап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равлением сбыта древесины и пиломатериалов является КНР.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Помимо низкой эффективности использования и переработки лесных ресурсов и низкой транспортной доступности ограничителем развития лесопромышленного комплекса Забайкальского края является рост затрат а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рендаторов, связанных со сложившимися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инфраструктурно</w:t>
      </w:r>
      <w:r>
        <w:rPr>
          <w:rFonts w:ascii="Times New Roman" w:hAnsi="Times New Roman" w:cs="Times New Roman"/>
          <w:bCs/>
          <w:sz w:val="28"/>
          <w:szCs w:val="28"/>
        </w:rPr>
        <w:t xml:space="preserve">-тарифными ограничениями региона (высокий тариф на электроэнергию, высокая стоимость ГСМ относительно других регионов ДФО).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pStyle w:val="1146"/>
        <w:shd w:val="clear" w:color="auto" w:fill="ffffff"/>
        <w:spacing w:after="159"/>
        <w:ind w:firstLine="709"/>
        <w:jc w:val="both"/>
        <w:rPr>
          <w:rStyle w:val="1147"/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Повышение эффективности управления, модернизация лесозаготовительного и лесопер</w:t>
      </w:r>
      <w:r>
        <w:rPr>
          <w:rFonts w:ascii="Times New Roman" w:hAnsi="Times New Roman" w:cs="Times New Roman"/>
          <w:bCs/>
          <w:sz w:val="28"/>
          <w:szCs w:val="28"/>
        </w:rPr>
        <w:t xml:space="preserve">ерабатывающего производств в совокупности с инфраструктурным и инновационно-цифровым развитием данного сектора наряду с имеющимся потенциалом являются потенциально важным источником повышения бюджетной устойчивости и экономического роста региона. </w:t>
      </w:r>
      <w:r>
        <w:rPr>
          <w:rStyle w:val="1147"/>
          <w:rFonts w:ascii="Times New Roman" w:hAnsi="Times New Roman" w:cs="Times New Roman"/>
          <w:bCs/>
          <w:i/>
          <w:sz w:val="28"/>
          <w:szCs w:val="28"/>
        </w:rPr>
      </w:r>
      <w:r>
        <w:rPr>
          <w:rStyle w:val="1147"/>
          <w:rFonts w:ascii="Times New Roman" w:hAnsi="Times New Roman" w:cs="Times New Roman"/>
          <w:bCs/>
          <w:i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i/>
          <w:iCs/>
          <w:color w:val="0d0d0d" w:themeColor="text1" w:themeTint="F2"/>
          <w:sz w:val="28"/>
          <w:shd w:val="clear" w:color="auto" w:fill="ffffff"/>
        </w:rPr>
        <w:t xml:space="preserve">Туризм</w:t>
      </w:r>
      <w:r>
        <w:rPr>
          <w:rStyle w:val="1147"/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i/>
          <w:iCs/>
          <w:color w:val="0d0d0d" w:themeColor="text1" w:themeTint="F2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Забайкальский край обладает рядом перспективных точек притяжения туристов, в том числе из соседей КНР. В 2024 году туристический поток в Забайкальский край оценивается в 532,68 тыс. поездок, 94 % из которых – российские туристы. Иностранные туристы прибыва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ют в основном из КНР. 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159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Основную долю туристического потока и совокупных затрат составляет деловой туризм (39 % и 47 % соответственно) на втором месте поездки в отпуск, досуг и отдых (26 % и 23 % соответственно).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r>
    </w:p>
    <w:p>
      <w:pPr>
        <w:pStyle w:val="1146"/>
        <w:shd w:val="clear" w:color="auto" w:fill="ffffff"/>
        <w:ind w:firstLine="709"/>
        <w:jc w:val="both"/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>
        <w:rPr>
          <w:rStyle w:val="1147"/>
          <w:rFonts w:ascii="Times New Roman" w:hAnsi="Times New Roman" w:cs="Times New Roman"/>
          <w:i/>
          <w:iCs/>
          <w:sz w:val="28"/>
          <w:shd w:val="clear" w:color="auto" w:fill="ffffff"/>
        </w:rPr>
        <w:t xml:space="preserve">Агропромышленный комплекс</w:t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r>
      <w:r>
        <w:rPr>
          <w:rStyle w:val="1147"/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Аграрный сектор в </w:t>
      </w:r>
      <w:r>
        <w:rPr>
          <w:rFonts w:ascii="Times New Roman" w:hAnsi="Times New Roman" w:eastAsia="Calibri" w:cs="Times New Roman"/>
          <w:sz w:val="28"/>
          <w:szCs w:val="28"/>
        </w:rPr>
        <w:t xml:space="preserve">Забайкальском крае располагает значительными ресурсами для перспективного развития.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Земельные ресурсы.  По площади сельскохозяйственных угодий</w:t>
      </w:r>
      <w:r>
        <w:rPr>
          <w:rFonts w:ascii="Times New Roman" w:hAnsi="Times New Roman" w:eastAsia="Calibri" w:cs="Times New Roman"/>
          <w:sz w:val="28"/>
          <w:szCs w:val="28"/>
        </w:rPr>
        <w:br/>
        <w:t xml:space="preserve">(7,6 млн. га) регион занимает 1 место в Дальневосточном федеральном округе и 7 место в Российской Федерации, по п</w:t>
      </w:r>
      <w:r>
        <w:rPr>
          <w:rFonts w:ascii="Times New Roman" w:hAnsi="Times New Roman" w:eastAsia="Calibri" w:cs="Times New Roman"/>
          <w:sz w:val="28"/>
          <w:szCs w:val="28"/>
        </w:rPr>
        <w:t xml:space="preserve">лощади используемых кормовых угодий (4,7 млн. га) 1 и 2 места соответственно; (по площади пашни, 0,44 млн. га, – только 4 и 56 места, но существует возможность увеличения пахотных земель, так как по площади залежи (0,8 млн. га) Забайкальский край занимает </w:t>
      </w:r>
      <w:r>
        <w:rPr>
          <w:rFonts w:ascii="Times New Roman" w:hAnsi="Times New Roman" w:eastAsia="Calibri" w:cs="Times New Roman"/>
          <w:sz w:val="28"/>
          <w:szCs w:val="28"/>
        </w:rPr>
        <w:t xml:space="preserve">1 место в Российской Федерации и соответственно в федеральном округе). Посевные площади сельскохозяйственных культур в 2024 году в хозяйствах всех категорий составили 167,8 тыс. га. (96,2% к 2023 году).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Трудовые ресурсы в растениеводстве, животноводстве 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предоставлении соответствующих услуг в этих областях занято 25,6 тыс. человек. Кроме того, создаваемые рабочие места при расширении сельскохозяйственного производства, создании инфраструктурных и перерабатывающих производств могут занять безработные гражда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не, проживающие в сельской местности (по данным выборочных обследований рабочей силы уровень безработицы в сельской местности Забайкальского края в 2023 году составлял 13,0 % (в городской местности – 4,5 %).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Потенциал животноводства. Забайкальский край сре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ди субъектов Российской Федерации по наличию поголовья крупного рогатого скота находится на 10 месте, овец и коз – 13, лошадей – 4, среди субъектов Дальневосточного федерального округа – по численности крупного рогатого скота, овец и коз находится на 1 мес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те, лошадей – 2. Мясное и мясомолочное скотоводство, тонкорунное (мериносовое) и полугрубошерстное овцеводство, табунное мясное коневодство, разводимые в условиях пастбищно-полустойлового содержания, получили наибольшее развитие среди подотраслей животново</w:t>
      </w:r>
      <w:r>
        <w:rPr>
          <w:rFonts w:ascii="Times New Roman" w:hAnsi="Times New Roman" w:eastAsia="Calibri" w:cs="Times New Roman"/>
          <w:sz w:val="28"/>
          <w:szCs w:val="28"/>
        </w:rPr>
        <w:t xml:space="preserve">дства.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Племенная работа в Забайкальском крае преимущественно направлена на отбор и распространение более продуктивных и хорошо приспособленных к пастбищному содержанию видов сельскохозяйственных животных, их пород и породных типов (в мясном скотоводстве, о</w:t>
      </w:r>
      <w:r>
        <w:rPr>
          <w:rFonts w:ascii="Times New Roman" w:hAnsi="Times New Roman" w:eastAsia="Calibri" w:cs="Times New Roman"/>
          <w:sz w:val="28"/>
          <w:szCs w:val="28"/>
        </w:rPr>
        <w:t xml:space="preserve">вцеводстве, коневодстве, верблюдоводстве).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Потенциал растениеводства. В юго-восточных и восточных районах Забайкальского края сосредоточено основное производство зерновых культур, где черноземные почвы позволяют получать самые высокие урожаи в крае. Главна</w:t>
      </w:r>
      <w:r>
        <w:rPr>
          <w:rFonts w:ascii="Times New Roman" w:hAnsi="Times New Roman" w:eastAsia="Calibri" w:cs="Times New Roman"/>
          <w:sz w:val="28"/>
          <w:szCs w:val="28"/>
        </w:rPr>
        <w:t xml:space="preserve">я культура – пшеница, с высоким – до 30 % содержанием клейковины.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Сравнительно недавно началась история возделывания на территории края масличных культур, первой культурой стал яровой рапс. Рапс Забайкалья имеет нулевое содержание </w:t>
      </w:r>
      <w:r>
        <w:rPr>
          <w:rFonts w:ascii="Times New Roman" w:hAnsi="Times New Roman" w:eastAsia="Calibri" w:cs="Times New Roman"/>
          <w:sz w:val="28"/>
          <w:szCs w:val="28"/>
        </w:rPr>
        <w:t xml:space="preserve">эруковой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кислоты, высокую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масличность и минимальный уровень примесей, что делает его идеальным сырьем для производства пищевых продуктов.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Сбыт продукции. Продукция сельского хозяйства Забайкальского края является относительно дешевой, экологически чистой, с превосходными вкусовыми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качествами. Потенциальный рост внутреннего потребления связан с увеличением потребления сельскохозяйственной продукции, сырья и продовольствия в расчете на душу населения, развитием переработки и повышением качества продукции, внедрением маркетинговых реш</w:t>
      </w:r>
      <w:r>
        <w:rPr>
          <w:rFonts w:ascii="Times New Roman" w:hAnsi="Times New Roman" w:eastAsia="Calibri" w:cs="Times New Roman"/>
          <w:sz w:val="28"/>
          <w:szCs w:val="28"/>
        </w:rPr>
        <w:t xml:space="preserve">ений и использования местных брендов.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развитии агропромышленного комплекса в числе сильных конкурентных преимуществ Забайкальского края выделяется выгодное географическое расположение – непосредственное соседство с Китаем, с учетом емкости китайского рын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ка продовольствия и сельскохозяйственной продукции и возможного наращивания экспорта в этом направлении.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Сельское хозяйство является одной из ведущих и системообразующих сфер – в структуре валового регионального продукта его доля в среднем составляет поряд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ка 3 %. Основная специализация сельского хозяйства – животноводство (свыше 70 %).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color w:val="0d0d0d" w:themeColor="text1" w:themeTint="F2"/>
          <w:sz w:val="28"/>
          <w:szCs w:val="28"/>
        </w:rPr>
        <w:t xml:space="preserve">В 2024 году объем производства продукции сельского хозяйства по предварительным данным </w:t>
      </w:r>
      <w:r>
        <w:rPr>
          <w:rFonts w:ascii="Times New Roman" w:hAnsi="Times New Roman" w:eastAsia="Calibri" w:cs="Times New Roman"/>
          <w:color w:val="0d0d0d" w:themeColor="text1" w:themeTint="F2"/>
          <w:sz w:val="28"/>
          <w:szCs w:val="28"/>
        </w:rPr>
        <w:t xml:space="preserve">Забайкалкрайстата</w:t>
      </w:r>
      <w:r>
        <w:rPr>
          <w:rFonts w:ascii="Times New Roman" w:hAnsi="Times New Roman" w:eastAsia="Calibri" w:cs="Times New Roman"/>
          <w:color w:val="0d0d0d" w:themeColor="text1" w:themeTint="F2"/>
          <w:sz w:val="28"/>
          <w:szCs w:val="28"/>
        </w:rPr>
        <w:t xml:space="preserve"> составил 28 407,8 млн. руб. (92,7% к уровню 2023 года). В структуре с</w:t>
      </w:r>
      <w:r>
        <w:rPr>
          <w:rFonts w:ascii="Times New Roman" w:hAnsi="Times New Roman" w:eastAsia="Calibri" w:cs="Times New Roman"/>
          <w:color w:val="0d0d0d" w:themeColor="text1" w:themeTint="F2"/>
          <w:sz w:val="28"/>
          <w:szCs w:val="28"/>
        </w:rPr>
        <w:t xml:space="preserve">ельскохозяйственного производства на долю сельскохозяйственных организаций приходилось 13,3% объема продукции, населения – 76,3%, крестьянских (фермерских) хозяйств и индивидуальных предпринимателей – 10,4%.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Основные ограничения развития агропромышленного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комплекса связаны с наличием следующих проблем: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малая доходность отрасли вследствие низких уровней продуктивности сельскохозяйственных животных и сельскохозяйственных угодий из-за сложных природно-климатических условий, недостаточное ресурсное обеспечение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на всех уровнях финансирования;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отставание Забайкальского края по уровню технологического совершенствования и материально-технической оснащенности;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наличие ветеринарных рисков, связанных с возникновением и распространением на территории Забайкальского края массовых заразных болезней живо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тных;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опережающий рост цен на товары и услуги естественных монополий, неблагоприятная рыночная конъюнктура на приобретаемую сельскохозяйственными товаропроизводителями продукцию при ограничении цен на реализуемую ими продукцию из-за низкой платежеспособнос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ти населения (увеличение разрыва в межотраслевом обмене);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ограниченный доступ сельскохозяйственных товаропроизводителей к рынку, однообразность ассортимента сельскохозяйственной продукции, слабое развитие кооперации в сфере производства и реализации сельск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охозяйственной продукции, территориальная удаленность между участниками рынка;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низкая загрузка производственных мощностей предприятий пищевой и перерабатывающей промышленности;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недостаток рабочих мест, дефицит квалифицированных кадров, низкая мотивация тру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да (уровень оплаты труда, бытовые условия), старение кадров, вызванная этим социальная напряженность, проблема обеспеченности жильем, низкий уровень оснащенности объектами социальной и инженерной инфраструктуры.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159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Производство сельскохозяйственной продукции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на территории края необходимо не только для снабжения населения продовольствием, но для обеспечения занятости сельского населения, повышения его уровня доходов, сохранения местных традиций и закрепления населения на приграничных территориях России.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iCs/>
          <w:sz w:val="28"/>
          <w:szCs w:val="28"/>
        </w:rPr>
        <w:t xml:space="preserve">Научно-технологическое развитие</w:t>
      </w:r>
      <w:r>
        <w:rPr>
          <w:rFonts w:ascii="Times New Roman" w:hAnsi="Times New Roman" w:eastAsia="Calibri" w:cs="Times New Roman"/>
          <w:bCs/>
          <w:i/>
          <w:sz w:val="28"/>
          <w:szCs w:val="28"/>
        </w:rPr>
      </w:r>
      <w:r>
        <w:rPr>
          <w:rFonts w:ascii="Times New Roman" w:hAnsi="Times New Roman" w:eastAsia="Calibri" w:cs="Times New Roman"/>
          <w:bCs/>
          <w:i/>
          <w:sz w:val="28"/>
          <w:szCs w:val="28"/>
        </w:rPr>
      </w:r>
    </w:p>
    <w:p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Кадровый научный потенциал региона.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2018 до 2024 год наблюдается снижение показателя численности персонала, занятого исследованиями с 238 чел. до 196 чел., с 2021 до 2022 год показатель повысился до 219 чел., а в 2023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снизился на 10 чел. – 209 чел.  Таким образом, по сравнению с 2018 годом данный показатель снизился на 29 чел. Показатель доли молодых исследователей с 2018 года (39,1%) постепенно снижался, в 2019 году до 36,4%, в 2020 году по высился до 38,4%, в 2021 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ду снизился до 32,7%, в   2022 году до 28,3%, таким образом в 2022 году по сравнению с 2019 годом он снизился на 8,1%. Показатель численности аспирантов с 2018 (141 чел.) по 2019 год (139 чел.) сократился на 2 чел, а с 2019 года 2022 года постепенно повыша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лся в 2020 до 160 чел., в 2021 году – до 173 чел.. в 2022 году до 174 чел., в 2023 году до 182 чел. таким образом, по сравнению с 2019 годом показатель вырос в 2023 году на 15 чел. Проведенный Министерством образования и науки Забайкальского края мониторин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 в мае 2025 года показал численность докторов наук – 154 чел., кандидатов наук – 732 чел., аспирантов – 189 чел.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Распределение  исследователей по возрасту: на первом месте по численности состав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исследователей от 40 до 50 лет (30,1%), на втором месте от 30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до 40 лет  (20,5%) и от 50 до 60 лет (20,5%).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Доля молодых исследователей в России – 31,6%, 23,7% – доля исследователей старше 36 лет, 15% – старше 45 лет, 13,7% – старше 55 лет, 15,9% – старше 65 лет.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ДФО работают 6,7 тыс. исследователей (1,9% общего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исла в РФ), из них треть (2,2 тыс.) – молодые, чей возраст не превышает 39 лет (в целом по РФ их доля больше – 44%). Больше половины ученых (58%) имеют степень кандидата или доктора наук, в целом по России таких только 27,3%. В Забайкальском крае 85% иссле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дователей имеют ученую степень.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Финансирование науки. С 2021 до 2022 года наблюдается рост показателя «Доля исследований и разработок в общем объеме произведенных товаров, выполняемых работ, услуг» с 68,5% до 96,3%, а в 2023 году рост до 92,7%. Показатель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выше на 2,4% по сравнению с ДФО. Доля внутренних затрат на исследования и разработки в ВРП остается на уровне 0,1% в 2020-2022 годах. Показатель «Источники финансирования внутренних затрат на научные исследования и разработки» увеличивается с 2021 года 562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,9 млн. руб. до 705,2 млн. руб. в 2023 году из них 150,8 млн. руб. средства федерального бюджета, 440,0 млн. руб. собственные средства организаций, 97,5 млн. руб. привлеченные средства, 16,9 млн. средства бюджета субъекта и местных бюджетов.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Внутренние 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екущие затраты на научные исследования и разработки в Забайкальском крае составляют 698,7 млн. рублей, или 0,04% от общероссийского показателя, 3% от показателя ДФО, в том числе по видам работ: фундаментальные – 235,5 (33,7%), прикладные – 50,7 (7,3%), раз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работки – 412,5 (59%). С 2019 года данный показатель увеличивается. Показатель «Гранты, субсидии, конкурсное финансирование исследований и разработок» 145,3 млн. руб. – субсидии бюджета на финансовое обеспечение выполнения государственного задания, 20 млн.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руб. гранты фондов поддержки научной, научно-технической и инновационной деятельности.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Средняя заработная плата ученых с 2018 года в Забайкальском крае увеличивается в 2022 году составляла 101,3 тыс. руб. По данным РАНХиГС, средняя зарплата учёного в РФ –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171 тыс. руб. В некоторых регионах ДФО этот показатель выше: на Чукотке – 193 465 рублей; на Сахалине – 189 072 рубля; в Магаданской области – 186 146 рублей.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Публикационная активность. Число публикаций в Web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of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Science в расчете на 100 исследователей с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2021 года наблюдается снижение показателя публикационной активности на 20,6 ед. В 2021 году показатель был 39,3 ед., в 2022 году – 32,4 ед., а в 2023 году – 18,7 ед. Число публикаций в Web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of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Science в расчете на 100 исследователей в ДФО в 2022 году – 42,9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публикаций в Web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of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Science в расчете на 100 исследователей в РФ в 2022 году – 29 ед.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публикаций в 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copus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расчете на 100 исследователей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c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2021 года также наблюдается снижение показателя публикационной активности на 26,1 ед., в 2021 году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133,7 ед., в 2022 году – 115,5 ед.. в 2023 – 87,6 ед.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публикаций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Scopus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расчете на 100 исследователей в ДФО сократился с 73,3 ед. в 2021 года до 62,6 ед. в 2023 году. Число публикаций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Scopus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РФ 108 090 ед. Страны лидеры по количеству совместных публикаций за 2021-2023 годы Япония (41), Казахстан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(11), Беларусь (10), Кыргызстан (8), Великобритания (7). Число региональных журналов ВАК в Забайкальском крае – 4.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Web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of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Science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0,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Sc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opus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0.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Патентная активность ниже уровня Российской Федерации: подано патентных заявок в 2023 году – 18 (0,06 %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общего количества заявок российских заявителей; 2,7% от общего количества заявок заявителей ДФО), выдано патентов – 16 (0,07 % от общего количества патентов, выданных российским заявителям; 3% от общего количества патентов, выданных заявителям ДФО); </w:t>
      </w:r>
      <w:r>
        <w:rPr>
          <w:rFonts w:ascii="Times New Roman" w:hAnsi="Times New Roman" w:cs="Times New Roman"/>
          <w:sz w:val="28"/>
          <w:szCs w:val="28"/>
        </w:rPr>
        <w:t xml:space="preserve">коэффи</w:t>
      </w:r>
      <w:r>
        <w:rPr>
          <w:rFonts w:ascii="Times New Roman" w:hAnsi="Times New Roman" w:cs="Times New Roman"/>
          <w:sz w:val="28"/>
          <w:szCs w:val="28"/>
        </w:rPr>
        <w:t xml:space="preserve">циент изобретательской активности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0,14 (при общероссийском показателе – 2,07; показателе ДФО – 0,62); количество поданных заявок в разрезе субъекта патентования (изобретения, полезные модели) – 8 – вузы и образовательные учреждения, 1 – предпринимательск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ий сектор, 8 – физические лица. Лидеры по количеству поданных заявок на изобретения и полезные модели (за 2021-2023 гг.) 17 – ФГБОУ ВО «Забайкальский государственный университет», 5 – ФГБОУ ВО «Читинская государственная медицинская академия», 2 – НИИВ Вост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очной Сибири – филиал СФНЦА РАН. Разработка передовых производственных технологий - 3 (0,1% от общероссийского показателя, 6% от показателя ДФО); используемые передовые производственные технологии - 1 357 (0,49% от общероссийского показателя, 14,3% от пока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зателя ДФО).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объектов научной инфраструктуры: ЦКП – 0, УНУ – 0. Количество организаций, выполнявших научные исследования и разработки в 2020 году – 18, в 2021, 2022 годах – 19, в 2023 году показатель сократился по сравнению на 4 – 15, в 2024 год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увеличился на 5. Количество вузов в 2025 году сократилось по сравнению с 2022 годом с 8 до 7</w:t>
      </w:r>
      <w:r>
        <w:rPr>
          <w:rFonts w:ascii="Times New Roman" w:hAnsi="Times New Roman" w:cs="Times New Roman"/>
          <w:sz w:val="28"/>
          <w:szCs w:val="28"/>
        </w:rPr>
        <w:t xml:space="preserve"> (ФГБОУ ВО «Забайкальский государственный университет», ФГБОУ ВО «Читинская государственная медицинская академия», Религиозная духовная образовательная организаци</w:t>
      </w:r>
      <w:r>
        <w:rPr>
          <w:rFonts w:ascii="Times New Roman" w:hAnsi="Times New Roman" w:cs="Times New Roman"/>
          <w:sz w:val="28"/>
          <w:szCs w:val="28"/>
        </w:rPr>
        <w:t xml:space="preserve">я высшего образования «Агинская Буддийская Академия» – самостоятельные; Забайкальский институт железнодорожного транспорта – филиал ФГБОУ ВО «Иркутский государственный университет путей сообщения» в г. Чите, Читинский институт (филиал) ФГБОУ ВО «Байкальски</w:t>
      </w:r>
      <w:r>
        <w:rPr>
          <w:rFonts w:ascii="Times New Roman" w:hAnsi="Times New Roman" w:cs="Times New Roman"/>
          <w:sz w:val="28"/>
          <w:szCs w:val="28"/>
        </w:rPr>
        <w:t xml:space="preserve">й государственный университет», Забайкальский аграрный институт филиал ФГБОУ ВО «Иркутский государственный университет имени А.А. </w:t>
      </w:r>
      <w:r>
        <w:rPr>
          <w:rFonts w:ascii="Times New Roman" w:hAnsi="Times New Roman" w:cs="Times New Roman"/>
          <w:sz w:val="28"/>
          <w:szCs w:val="28"/>
        </w:rPr>
        <w:t xml:space="preserve">Ежевского</w:t>
      </w:r>
      <w:r>
        <w:rPr>
          <w:rFonts w:ascii="Times New Roman" w:hAnsi="Times New Roman" w:cs="Times New Roman"/>
          <w:sz w:val="28"/>
          <w:szCs w:val="28"/>
        </w:rPr>
        <w:t xml:space="preserve">» - филиалы).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Количество научных организаций в 2022 году – 1 (ИПРЭК). </w:t>
      </w:r>
      <w:r>
        <w:rPr>
          <w:rFonts w:ascii="Times New Roman" w:hAnsi="Times New Roman" w:cs="Times New Roman"/>
          <w:sz w:val="28"/>
          <w:szCs w:val="28"/>
        </w:rPr>
        <w:t xml:space="preserve">В регионе не сформирован крупный научно-исследо</w:t>
      </w:r>
      <w:r>
        <w:rPr>
          <w:rFonts w:ascii="Times New Roman" w:hAnsi="Times New Roman" w:cs="Times New Roman"/>
          <w:sz w:val="28"/>
          <w:szCs w:val="28"/>
        </w:rPr>
        <w:t xml:space="preserve">вательский центр: действует самостоятельный институт РАН ФГБУН «Институт природных ресурсов, экологии и криологии» СО РАН, филиалы - Научно-исследовательский институт ветеринарии Восточной Сибири – филиал СФНЦА РАН, Читинский филиал Института горного дела </w:t>
      </w:r>
      <w:r>
        <w:rPr>
          <w:rFonts w:ascii="Times New Roman" w:hAnsi="Times New Roman" w:cs="Times New Roman"/>
          <w:sz w:val="28"/>
          <w:szCs w:val="28"/>
        </w:rPr>
        <w:t xml:space="preserve">им. Н.А. </w:t>
      </w:r>
      <w:r>
        <w:rPr>
          <w:rFonts w:ascii="Times New Roman" w:hAnsi="Times New Roman" w:cs="Times New Roman"/>
          <w:sz w:val="28"/>
          <w:szCs w:val="28"/>
        </w:rPr>
        <w:t xml:space="preserve">Чинакала</w:t>
      </w:r>
      <w:r>
        <w:rPr>
          <w:rFonts w:ascii="Times New Roman" w:hAnsi="Times New Roman" w:cs="Times New Roman"/>
          <w:sz w:val="28"/>
          <w:szCs w:val="28"/>
        </w:rPr>
        <w:t xml:space="preserve"> ИГД СО РАН, Забайкальский научный центр Института истории, археологии и этнографии народов Дальнего Востока ДВО РАН.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Забайкальском крае сложились 38 научных школ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(Приложение)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,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 них в ЗабГУ – 24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научные, научно-методические и научно-пе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дагогические школы, в ЧГМА – 8, БГУ – 6. В вузах и НИИ работают 154 доктора наук, 732 кандидата наук, 189 аспирантов. На 0,98% (279 чел.) вырос показатель численности студентов (бакалавриата, специалитета, магистратуры) в вузах в 2024 году по сравнению с 2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023 годом. С 2019 по 2023 год наблюдалось снижение численности студентов с 23 159 чел. до 19095 чел. что составило 8,2%, в 2024 году показатель вырос на 9,9% – 279 чел. В настоящее время высшее образование получают 19679 студента по всем формам обучения, ч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 на 472 чел. выше с 2024 годом.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студентов очной формы обучения также сокращалось с 2019 по 2023 год на 9,3% с 9932 до 9 194 чел., а в 2024 году показатель вырос на 9,7% до 9 483 чел. Количество обучающихся за счет бюджетных средств бюджетной систем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ы также сокращалось с 2019 года по 2023 год на 9,2% с 10 715 чел. до 9 814 чел., в 2024 году показатель вырос на 9,8% – 190 чел.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Научно-технологическая инфраструктура включает следующие объекты: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центры коллективного пользования научным оборудованием (ЦКП)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в 2023 году: в РФ – 662 ед.,</w:t>
      </w:r>
      <w:r>
        <w:rPr>
          <w:rFonts w:ascii="Times New Roman" w:hAnsi="Times New Roman" w:eastAsia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в том числе 24 суперкомпьютерных центра и 66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биоресурсных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коллекций, в ДФО – 48 ед., в Забайкальском крае – 0 ед.;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технопарки: в РФ – 156 технопарков, в ДФО – 2, в Забайкальском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крае – 1;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школьные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кванториумы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в РФ – 329, в Забайкальском крае – 8;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студенческие (молодежные) конструкторские бюро: в РФ – 676, в Забайкальском крае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– 7;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центр молодежного инновационного тво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рчества: в РФ – 241, в Забайкальском крае – 1.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Показатель «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Техновооруженность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сектора исследований и разработок»: в РФ 1188 тыс. руб./чел., в ДФО – 518 тыс. руб./чел., в Забайкальском крае с 2019 года по 2023 год увеличивается с 280,7 тыс. руб./чел. до 50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0 тыс. руб./чел. 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Результативность сектора исследований и разработок выражается в уровне инновационной активности организаций: с 2019 года снизился с 3,8 до 3,3 в 2023 году в (РФ – 11,3, ДФО – 6,2);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удельный вес организаций, осуществляющих технологические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инновации в 2019 году – 10,4%, в 2023 – 9,9% (РФ – 22,7%, ДФО – 14,5%);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затраты на инновационную деятельность организаций: в 2020 году – 509,7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млн. руб., в 2023 году – 854,5 млн. руб. (7 позиция по ДФО, республика Бурятия – 7060 млн. руб.)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инновационная 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ктивность малых предприятий: удельный вес инновационных товаров работ, услуг в общем объеме отгруженных товаров, выполняемых работ, услуг в 2019 году – 0,2%, в 2023 году – 0,1%;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удельный вес затрат на инновационную деятельность организаций, от общего объем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отгруженных товаров, выполненных работ, услуг в 2019 году составил 0,4%, в 2023 году – 0,2% (РФ – 2,5%; ДФО – 1,5%);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ВРП на душу населения в 2019 году – 358,7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тыс. руб., в 2023 году – 628,8 тыс. руб.;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доля продукции высокотехнологичных и наукоемких отраслей в ВРП в 2019 году – 18,8%, в 2023 году – 15,9% (РФ – 19,8%, в ДФО – 12,7%).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Решающие факторы, препятствующие развитию инноваций, по сведениям организаций в 2023 году: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недостаток собственных денежных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средств;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высокая стоимость нововведений;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159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недостаток финансовой поддержки со стороны государства.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организаций, разрабатывающих передовые производственные технологии в 2023 году – 3, в 2020 – 1. Среди разработанных технологий технологии, относящиеся 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проектированию и инжинирингу – 1, производство, обработка, транспортировка и сборка – 1, связь, управление 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геоматика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1.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разработанных технологий вырос с 2 до 7 ед. с 2018 до 2023 года;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Число используемых передовых производственных технологий: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2021 году – 855 ед., в 2023 году – 769 ед.</w:t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Решающие факторы, препятствующие внедрению передовых производственных технологий по сведениям организаций в 2023 году: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трудности с наймом квалифицированного персонала;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недостаточная квалификация сотрудников;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труд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ности с привлечением частного финансирования.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Инвестиции в основной капитал выросли в 3 раза за период с 2019 по 2023 год с 96,2 млрд. руб. до 305,3 млрд. руб. Доля инвестиций в основной капитал в ВРП – 33,4% в 2021 году, 48,9% – в 2023 году (ДФО – 34,2%).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структуре инвестиций преобладают инвестиции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обрабатывающие производства – 26,5%, деятельность профессиональную, научную и техническую – 18%, добычу полезных ископаемых – 17,5%, транспорт и хранение – 13%.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Преобладание инвестиций в обрабатывающие производства отражает приоритет в привлечении инвес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тиций в регион в целях изменения структуры экономики в направлении развития обрабатывающей промышленности.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159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настоящее время реализуется 124 инвестиционных проекта на 2,3 трлн руб. с созданием 66 тыс. рабочих мест. На ТОР «Забайкалье» и «Краснокаменск» осу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ществляет деятельность 91 резидент с общим объемом инвестиций 869 млрд руб. и созданием 33,4 тыс. рабочих мест.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widowControl w:val="off"/>
        <w:spacing w:after="0" w:line="240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Внешнеэкономические связи</w:t>
      </w:r>
      <w:r>
        <w:rPr>
          <w:rFonts w:ascii="Times New Roman" w:hAnsi="Times New Roman" w:cs="Times New Roman"/>
          <w:bCs/>
          <w:i/>
          <w:sz w:val="28"/>
          <w:szCs w:val="28"/>
        </w:rPr>
      </w:r>
      <w:r>
        <w:rPr>
          <w:rFonts w:ascii="Times New Roman" w:hAnsi="Times New Roman" w:cs="Times New Roman"/>
          <w:bCs/>
          <w:i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Расположение Забайкальского края определяет его ключевую роль в трансазиатских логистических цепочках. Протяжённая, по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чти двухтысячная, сухопутная граница одновременно выходит к двум соседним государствам – Китайской Народной Республике и Монголии. На этом отрезке сфокусировано шестнадцать действующих пунктов пропуска, из которых десять — автомобильные, что формирует наиб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ольшую плотность переходов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 всём дальневосточном участке российско-китайской границы. Главным «воротами» остаётся МАПП «Забайкальск»: по итогам 2024 года через него прошло 10,7 млн. тонн товарной массы, то есть более половины сухопутного экспорта Российс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кой Федерации. Дополняет его железнодорожный переход «Забайкальск – Маньчжурия», обслуживший 14,2 млн. тонн и фактически ставший первой станцией трансазиатского коридора «Китай – Европа».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Минерально-сырьевой комплекс остаётся главным источником экспортной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выручки: руда, концентраты и энергетический уголь в совокупности дали 629,7 млрд руб. или 76,5 % от общего экспорта края. В лесопромышленном секторе, несмотря на пока скромную долю (7,1 %), наблюдается устойчивая динамика роста производства пиломатериалов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 высокой степенью обработки, что в перспективе повышает удельную стоимость единицы продукции. Аграрный сектор (6,8 % экспорта) демонстрирует потенциал благодаря проектам глубокой переработки зерна и мясной сырьевой базы Агинского округа. Между тем человеч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еский капитал, представленный более чем семью сотнями действующих экспортёров, из которых треть — малые и средние предприятия, является тем звеном, которое позволяет быстро адаптироваться к меняющимся мировым конъюнктурным условиям.</w:t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Забайкальский край расп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олагает несомненными преимуществами и реализуемым в горизонте Стратегии потенциалом в развитии внешнеторговых, внешнеэкономических и иных международных связей.  В их числе: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экогеографические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преимущества, расположение края в близости и доступности с быстро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растущим восточноазиатским центром мирового экономического развития, более 1960 км общей государственной границы с КНР, Монголией;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пролегание через территорию края стратегически значимых трансграничных железнодорожных и автомобильных магистралей, связывающих регионы России, также страны Европы с рынками стран АТР;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обладание значимым природно-ресурсным потенциалом, структура и качество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которого обеспечивает его востребованность в долгосрочном горизонте;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наличие общих административных границ, сопряженных с регионами Дальнего Востока, территориального прилегания и потенциала развития межрегиональных кооперационных связей, логистического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заимодействия.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На территории Забайкальского края расположен крупнейший в России «сухопутный порт» Забайкальск, стабильно обеспечивающий более половины экспортного грузопотока через сухопутные пункты пропуска через государственную границу Российской Федера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ции (далее – пункты пропуска), общее количество действующих пунктов пропуска – 8.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Начиная с 2012 года наблюдается устойчивый рост экспорта с территории Забайкальского края, который фиксируется и в абсолютных величинах, и в структуре внешнеторгового товароо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борота. В период 2019 – 2021 годов годовой объем экспортных поставок удвоился. Данный тренд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сохраняется и прогнозируемо сохранится на перспективу в условиях переориентации грузопотоков с европейского направления на восточное.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Успешная реализация транзитног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 потенциала и преимуществ Забайкальского края в результате переориентации грузопотока с европейского направления на восточное в рамках курса внешнеэкономической политики России способна оказать значимое (решающее) влияние на ускорение экономического и соц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иального развития региона в горизонте Стратегии.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Внешнеторговый оборот Забайкальского края имеет отрицательную динамику. За 2020 – 2024 годы его объем снизился с 1074,2 до 1 053,38 млн. долларов США, что составило 1,94%. Объем импорта за тот же период умен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ьшился на 25,7%.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Край является нетто-экспортером. В 2024 году экспорт превысил объем импортных операций в 3,2 раза, составив 1 053,38 млн. долларов США (таблица 11). В экспорте преобладают сырьевые товары и товары с низкой степенью обработки. В 2024 году 7</w:t>
      </w:r>
      <w:r>
        <w:rPr>
          <w:rFonts w:ascii="Times New Roman" w:hAnsi="Times New Roman" w:cs="Times New Roman"/>
          <w:sz w:val="28"/>
          <w:szCs w:val="28"/>
        </w:rPr>
        <w:t xml:space="preserve">8,6% экспорта в стоимостном выражении приходится на руды и их концентраты. Основным рынком сбыта является КНР (82,3% общей стоимости экспорта).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11. Экспорт Забайкальского края по товарным группам, млн долларов США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4241"/>
        <w:gridCol w:w="1022"/>
        <w:gridCol w:w="1022"/>
        <w:gridCol w:w="1022"/>
        <w:gridCol w:w="1022"/>
        <w:gridCol w:w="1022"/>
      </w:tblGrid>
      <w:tr>
        <w:trPr>
          <w:trHeight w:val="461"/>
          <w:tblHeader/>
        </w:trPr>
        <w:tblPrEx/>
        <w:tc>
          <w:tcPr>
            <w:tcW w:w="48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Товарная группа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1147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2020 год</w: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</w:rPr>
              <w:t xml:space="preserve">2022 год</w: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</w:rPr>
              <w:t xml:space="preserve">2023 год</w: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</w:rPr>
              <w:t xml:space="preserve">2024 год</w:t>
            </w:r>
            <w:r>
              <w:rPr>
                <w:rFonts w:ascii="Times New Roman" w:hAnsi="Times New Roman" w:cs="Times New Roman"/>
                <w:b/>
              </w:rPr>
            </w:r>
            <w:r>
              <w:rPr>
                <w:rFonts w:ascii="Times New Roman" w:hAnsi="Times New Roman" w:cs="Times New Roman"/>
                <w:b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Древесина и целлюлозно-бумажные изделия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28,5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18,8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24,2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15,8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5,6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Продовольственные товары и сельскохозяйственное сырье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17,7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7,8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34,1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47,9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41,3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Продукция топливно-энергетического комплекса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38,5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96,1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168,9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140,4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Руды</w:t>
            </w:r>
            <w:r>
              <w:rPr>
                <w:rStyle w:val="1036"/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footnoteReference w:id="7"/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982,9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1 323,2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1 140,7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853,5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828,0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Прочие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1,9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23,6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37,4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Неклассифицированные товары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0,0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65,1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0,4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0,3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0,6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15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firstLine="34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Экспорт, всего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1 074,2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1 458,1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1 298,3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1 110,0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1 053,4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</w:tbl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рамках реализации Программы развития угольной промышленности на период до 2035 года, утвержденной распоряжением Правительства Российской Федерации от 13 июня 2020 года № 1582-р и работы Межправительственной Российско-Китайской комиссии по энергетическому</w:t>
      </w:r>
      <w:r>
        <w:rPr>
          <w:rFonts w:ascii="Times New Roman" w:hAnsi="Times New Roman"/>
          <w:sz w:val="28"/>
          <w:szCs w:val="28"/>
        </w:rPr>
        <w:t xml:space="preserve"> сотрудничеству, начиная с 2027 года ожидается выход на проектную мощность </w:t>
      </w:r>
      <w:r>
        <w:rPr>
          <w:rFonts w:ascii="Times New Roman" w:hAnsi="Times New Roman"/>
          <w:sz w:val="28"/>
          <w:szCs w:val="28"/>
        </w:rPr>
        <w:t xml:space="preserve">Зашуланского</w:t>
      </w:r>
      <w:r>
        <w:rPr>
          <w:rFonts w:ascii="Times New Roman" w:hAnsi="Times New Roman"/>
          <w:sz w:val="28"/>
          <w:szCs w:val="28"/>
        </w:rPr>
        <w:t xml:space="preserve"> месторождения угля, что обеспечит экспорт </w:t>
      </w:r>
      <w:r>
        <w:rPr>
          <w:rFonts w:ascii="Times New Roman" w:hAnsi="Times New Roman"/>
          <w:sz w:val="28"/>
          <w:szCs w:val="28"/>
        </w:rPr>
        <w:t xml:space="preserve">энергетического угля в КНР с 1 млн. тонн в 2027 году, 3 млн. тонн в 2028 году и до 5 млн. тонн ежегодно с 2029 года.</w:t>
      </w:r>
      <w:r>
        <w:rPr>
          <w:rFonts w:ascii="Times New Roman" w:hAnsi="Times New Roman"/>
          <w:color w:val="ff0000"/>
          <w:sz w:val="28"/>
          <w:szCs w:val="28"/>
        </w:rPr>
      </w:r>
      <w:r>
        <w:rPr>
          <w:rFonts w:ascii="Times New Roman" w:hAnsi="Times New Roman"/>
          <w:color w:val="ff0000"/>
          <w:sz w:val="28"/>
          <w:szCs w:val="28"/>
        </w:rPr>
      </w:r>
    </w:p>
    <w:p>
      <w:pPr>
        <w:widowControl w:val="off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имп</w:t>
      </w:r>
      <w:r>
        <w:rPr>
          <w:rFonts w:ascii="Times New Roman" w:hAnsi="Times New Roman" w:cs="Times New Roman"/>
          <w:sz w:val="28"/>
          <w:szCs w:val="28"/>
        </w:rPr>
        <w:t xml:space="preserve">орта Забайкальского края в 2024 году составил 333,2 млн. долларов США (таблица 12). Основными объектами импортных операций являются машины, оборудование и транспортные средства, доля которых в стоимостной структуре импорта составила 53,7%. На втором месте </w:t>
      </w:r>
      <w:r>
        <w:rPr>
          <w:rFonts w:ascii="Times New Roman" w:hAnsi="Times New Roman" w:cs="Times New Roman"/>
          <w:sz w:val="28"/>
          <w:szCs w:val="28"/>
        </w:rPr>
        <w:t xml:space="preserve">- продовольственные товары и сельскохозяйственное сырье с долей 19,6%. Большая часть импорта осуществляется с территории КНР (97,4 %).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before="12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12. Импорт Забайкальского края по товарным группам, млн долларов США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246"/>
        <w:gridCol w:w="1022"/>
        <w:gridCol w:w="1022"/>
        <w:gridCol w:w="1022"/>
        <w:gridCol w:w="1022"/>
        <w:gridCol w:w="1022"/>
      </w:tblGrid>
      <w:tr>
        <w:trPr>
          <w:trHeight w:val="382"/>
          <w:tblHeader/>
        </w:trPr>
        <w:tblPrEx/>
        <w:tc>
          <w:tcPr>
            <w:tcW w:w="48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Товарная группа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2020 год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2022 год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2023 год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pStyle w:val="1146"/>
              <w:shd w:val="clear" w:color="auto" w:fill="ffffff"/>
              <w:jc w:val="center"/>
              <w:rPr>
                <w:rFonts w:ascii="Times New Roman" w:hAnsi="Times New Roman" w:cs="Times New Roman"/>
                <w:b/>
                <w:shd w:val="clear" w:color="auto" w:fill="ffffff"/>
              </w:rPr>
            </w:pPr>
            <w:r>
              <w:rPr>
                <w:rStyle w:val="1147"/>
                <w:rFonts w:ascii="Times New Roman" w:hAnsi="Times New Roman" w:cs="Times New Roman"/>
                <w:b/>
                <w:sz w:val="24"/>
                <w:shd w:val="clear" w:color="auto" w:fill="ffffff"/>
              </w:rPr>
              <w:t xml:space="preserve">2024 год</w:t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Машины, оборудование и транспортные средства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199,2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395,5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172,4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199,8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179,1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Металлы и изделия из них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17,2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28,2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22,6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24,6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19,6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Нерудное минеральное сырье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8,3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3,0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0,2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0,8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1,2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Продовольственные товары и сельскохозяйственное сырье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81,4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83,8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44,5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79,5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65,4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Продукция химической промышленности, каучук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54,1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66,0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43,1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41,7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hd w:val="clear" w:color="auto" w:fill="ffffff"/>
              </w:rPr>
              <w:t xml:space="preserve">43,2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Прочие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85,1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56,8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20,4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23,2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24,7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  <w:tr>
        <w:trPr>
          <w:trHeight w:val="552"/>
        </w:trPr>
        <w:tblPrEx/>
        <w:tc>
          <w:tcPr>
            <w:tcW w:w="4820" w:type="dxa"/>
            <w:tcBorders>
              <w:top w:val="none" w:color="000000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Импорт, всего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445,3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633,3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303,2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369,6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13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333,2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</w:tr>
    </w:tbl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прямых иностранных инвестиций в экономику Забайкальского края с 1 января 2018 года по 1 января 2022 года вырос в 6,1 раза до 2 914 млн долларов США. Основная часть инвестиций направлялась в развитие добычи полезных ископаемых. Доля таких вложений на </w:t>
      </w:r>
      <w:r>
        <w:rPr>
          <w:rFonts w:ascii="Times New Roman" w:hAnsi="Times New Roman" w:cs="Times New Roman"/>
          <w:sz w:val="28"/>
          <w:szCs w:val="28"/>
        </w:rPr>
        <w:t xml:space="preserve">конец 2021 года составила 86,9 % (таблица 13).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magenta"/>
        </w:rPr>
      </w:pPr>
      <w:r>
        <w:rPr>
          <w:rFonts w:ascii="Times New Roman" w:hAnsi="Times New Roman" w:cs="Times New Roman"/>
          <w:sz w:val="28"/>
          <w:szCs w:val="28"/>
          <w:highlight w:val="magenta"/>
        </w:rPr>
      </w:r>
      <w:r>
        <w:rPr>
          <w:rFonts w:ascii="Times New Roman" w:hAnsi="Times New Roman" w:cs="Times New Roman"/>
          <w:sz w:val="28"/>
          <w:szCs w:val="28"/>
          <w:highlight w:val="magenta"/>
        </w:rPr>
      </w:r>
      <w:r>
        <w:rPr>
          <w:rFonts w:ascii="Times New Roman" w:hAnsi="Times New Roman" w:cs="Times New Roman"/>
          <w:sz w:val="28"/>
          <w:szCs w:val="28"/>
          <w:highlight w:val="magenta"/>
        </w:rPr>
      </w:r>
    </w:p>
    <w:p>
      <w:pPr>
        <w:widowControl w:val="o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13. Прямые иностранные инвестиции в экономику Забайкальского края по видам экономической деятельности, млн долларов США на 1 января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1" w:type="dxa"/>
        <w:tblLayout w:type="fixed"/>
        <w:tblLook w:val="04A0" w:firstRow="1" w:lastRow="0" w:firstColumn="1" w:lastColumn="0" w:noHBand="0" w:noVBand="1"/>
      </w:tblPr>
      <w:tblGrid>
        <w:gridCol w:w="4482"/>
        <w:gridCol w:w="1217"/>
        <w:gridCol w:w="1217"/>
        <w:gridCol w:w="1218"/>
        <w:gridCol w:w="1217"/>
      </w:tblGrid>
      <w:tr>
        <w:trPr>
          <w:trHeight w:val="510"/>
          <w:tblHeader/>
        </w:trPr>
        <w:tblPrEx/>
        <w:tc>
          <w:tcPr>
            <w:tcW w:w="3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bookmarkStart w:id="33" w:name="_Toc113054140"/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  <w:lang w:eastAsia="ru-RU"/>
              </w:rPr>
              <w:t xml:space="preserve">Вид экономической деятельности</w:t>
            </w:r>
            <w:bookmarkEnd w:id="33"/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line="240" w:lineRule="auto"/>
              <w:ind w:right="83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2018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right="93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2019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right="97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2020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right="83"/>
              <w:contextualSpacing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</w:p>
        </w:tc>
      </w:tr>
      <w:tr>
        <w:trPr>
          <w:trHeight w:val="373"/>
        </w:trPr>
        <w:tblPrEx/>
        <w:tc>
          <w:tcPr>
            <w:tcW w:w="3964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4" w:name="_Toc113054141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Добыча полезных ископаемых</w:t>
            </w:r>
            <w:bookmarkEnd w:id="34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5" w:name="_Toc113054142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</w:t>
            </w:r>
            <w:bookmarkEnd w:id="35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6" w:name="_Toc113054143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678</w:t>
            </w:r>
            <w:bookmarkEnd w:id="36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7" w:name="_Toc113054144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1 136</w:t>
            </w:r>
            <w:bookmarkEnd w:id="37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8" w:name="_Toc11305414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1 461</w:t>
            </w:r>
            <w:bookmarkEnd w:id="38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trHeight w:val="373"/>
        </w:trPr>
        <w:tblPrEx/>
        <w:tc>
          <w:tcPr>
            <w:tcW w:w="3964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39" w:name="_Toc113054147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Сельское хозяйство</w:t>
            </w:r>
            <w:bookmarkEnd w:id="39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0" w:name="_Toc113054148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20</w:t>
            </w:r>
            <w:bookmarkEnd w:id="40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1" w:name="_Toc113054149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19</w:t>
            </w:r>
            <w:bookmarkEnd w:id="41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2" w:name="_Toc113054150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18</w:t>
            </w:r>
            <w:bookmarkEnd w:id="42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3" w:name="_Toc113054151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19</w:t>
            </w:r>
            <w:bookmarkEnd w:id="43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trHeight w:val="373"/>
        </w:trPr>
        <w:tblPrEx/>
        <w:tc>
          <w:tcPr>
            <w:tcW w:w="3964" w:type="dxa"/>
            <w:tcBorders>
              <w:top w:val="none" w:color="000000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4" w:name="_Toc113054153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Прочие</w:t>
            </w:r>
            <w:bookmarkEnd w:id="44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5" w:name="_Toc113054154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bookmarkEnd w:id="4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6" w:name="_Toc11305415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25</w:t>
            </w:r>
            <w:bookmarkEnd w:id="46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7" w:name="_Toc113054156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</w:t>
            </w:r>
            <w:bookmarkEnd w:id="47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8" w:name="_Toc113054157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</w:t>
            </w:r>
            <w:bookmarkEnd w:id="48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trHeight w:val="373"/>
        </w:trPr>
        <w:tblPrEx/>
        <w:tc>
          <w:tcPr>
            <w:tcW w:w="3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49" w:name="_Toc113054159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Не распределено по ВЭД</w:t>
            </w:r>
            <w:bookmarkEnd w:id="49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0" w:name="_Toc113054160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33</w:t>
            </w:r>
            <w:bookmarkEnd w:id="50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1" w:name="_Toc113054161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323</w:t>
            </w:r>
            <w:bookmarkEnd w:id="51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2" w:name="_Toc113054162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323</w:t>
            </w:r>
            <w:bookmarkEnd w:id="52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3" w:name="_Toc113054163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317</w:t>
            </w:r>
            <w:bookmarkEnd w:id="53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trHeight w:val="373"/>
        </w:trPr>
        <w:tblPrEx/>
        <w:tc>
          <w:tcPr>
            <w:tcW w:w="396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4" w:name="_Toc113054165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Инвестиции, всего</w:t>
            </w:r>
            <w:bookmarkEnd w:id="54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noWrap w:val="false"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5" w:name="_Toc113054166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478</w:t>
            </w:r>
            <w:bookmarkEnd w:id="55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6" w:name="_Toc113054167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1 045</w:t>
            </w:r>
            <w:bookmarkEnd w:id="56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7" w:name="_Toc113054168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1 487</w:t>
            </w:r>
            <w:bookmarkEnd w:id="57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contextualSpacing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bookmarkStart w:id="58" w:name="_Toc113054169"/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1 807</w:t>
            </w:r>
            <w:bookmarkEnd w:id="58"/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</w:tbl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инвесторами выступают конфиденциальные инвесторы стран Южной Европы, при этом до 2019 года эти страны инвестиций в край </w:t>
      </w:r>
      <w:r>
        <w:rPr>
          <w:rFonts w:ascii="Times New Roman" w:hAnsi="Times New Roman" w:cs="Times New Roman"/>
          <w:sz w:val="28"/>
          <w:szCs w:val="28"/>
        </w:rPr>
        <w:t xml:space="preserve">не осуществляли. Лидером по «открытым» прямым инвестициям стала КНР, на долю которого пришлось 20 % прямых иностранных инвести</w:t>
      </w:r>
      <w:r>
        <w:rPr>
          <w:rFonts w:ascii="Times New Roman" w:hAnsi="Times New Roman" w:cs="Times New Roman"/>
          <w:sz w:val="28"/>
          <w:szCs w:val="28"/>
        </w:rPr>
        <w:t xml:space="preserve">ций по состоянию на 1 января 2022 года.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  <w:r>
        <w:rPr>
          <w:rFonts w:ascii="Times New Roman" w:hAnsi="Times New Roman" w:cs="Times New Roman"/>
          <w:sz w:val="28"/>
          <w:szCs w:val="28"/>
          <w:highlight w:val="red"/>
        </w:rPr>
      </w:r>
      <w:r>
        <w:rPr>
          <w:rFonts w:ascii="Times New Roman" w:hAnsi="Times New Roman" w:cs="Times New Roman"/>
          <w:sz w:val="28"/>
          <w:szCs w:val="28"/>
          <w:highlight w:val="red"/>
        </w:rPr>
      </w:r>
      <w:r>
        <w:rPr>
          <w:rFonts w:ascii="Times New Roman" w:hAnsi="Times New Roman" w:cs="Times New Roman"/>
          <w:sz w:val="28"/>
          <w:szCs w:val="28"/>
          <w:highlight w:val="red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59" w:name="_Toc204259659"/>
      <w:r>
        <w:rPr>
          <w:rFonts w:ascii="Times New Roman" w:hAnsi="Times New Roman"/>
          <w:b/>
          <w:sz w:val="28"/>
          <w:szCs w:val="28"/>
        </w:rPr>
        <w:t xml:space="preserve">1.2. Оценка достигнутых целей социально-экономического развития </w:t>
      </w:r>
      <w:r>
        <w:rPr>
          <w:rFonts w:ascii="Times New Roman" w:hAnsi="Times New Roman"/>
          <w:b/>
          <w:sz w:val="28"/>
          <w:szCs w:val="28"/>
        </w:rPr>
        <w:br/>
        <w:t xml:space="preserve">в 2024 году</w:t>
      </w:r>
      <w:bookmarkEnd w:id="59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146"/>
        <w:ind w:firstLine="709"/>
        <w:jc w:val="both"/>
      </w:pPr>
    </w:p>
    <w:p>
      <w:pPr>
        <w:pStyle w:val="114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В 2023 году утверждена Стратегия социально-экономического развития Забайкальского края до 2035 года, которой установлены приоритеты, цел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и и задачи социально-экономического развития Забайкальского края на 12 лет.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46"/>
        <w:ind w:firstLine="709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Для мониторинга Стратегии социально-экономического развития Забайкальского края до 2035 года определено 23 ключевых показателя.</w:t>
      </w:r>
      <w:r>
        <w:rPr>
          <w:rFonts w:ascii="Times New Roman" w:hAnsi="Times New Roman" w:cs="Times New Roman"/>
          <w:shd w:val="clear" w:color="auto" w:fill="ffffff"/>
        </w:rPr>
      </w:r>
      <w:r>
        <w:rPr>
          <w:rFonts w:ascii="Times New Roman" w:hAnsi="Times New Roman" w:cs="Times New Roman"/>
          <w:shd w:val="clear" w:color="auto" w:fill="ffffff"/>
        </w:rPr>
      </w:r>
    </w:p>
    <w:p>
      <w:pPr>
        <w:pStyle w:val="1146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Достижение плановых значений показателей Стратегии о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тражено в таблице 14. 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widowControl w:val="o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Таблица 14. Оценка достижения целевых показателей Стратегии в 2024 году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9351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568"/>
        <w:gridCol w:w="3542"/>
        <w:gridCol w:w="1417"/>
        <w:gridCol w:w="1276"/>
        <w:gridCol w:w="1276"/>
        <w:gridCol w:w="1272"/>
      </w:tblGrid>
      <w:tr>
        <w:trPr>
          <w:cantSplit/>
          <w:trHeight w:val="645"/>
          <w:tblHeader/>
        </w:trPr>
        <w:tblPrEx/>
        <w:tc>
          <w:tcPr>
            <w:tcW w:w="56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Наименование показателя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Базовое значение 2021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План 2024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Факт 2024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r>
          </w:p>
        </w:tc>
        <w:tc>
          <w:tcPr>
            <w:tcW w:w="1272" w:type="dxa"/>
            <w:tcBorders>
              <w:top w:val="single" w:color="000000" w:sz="8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pStyle w:val="1146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  <w:t xml:space="preserve">% достижения показателя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 (в среднегодовом исчислении), тыс. человек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1027,0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982,0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Ожидаемая продолжительность жизни, лет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66,8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68,6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рождаемости, человек на 1000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10,5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Суммарный коэффициент рождаемости, число детей на 1 женщину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1,6*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Коэффициент смертности, человек на 1000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13,7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населения трудоспособного возраста, человек на 100 тыс. населения соответствующего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652,9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544,8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974,4</w:t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  <w:r>
              <w:rPr>
                <w:rFonts w:ascii="Times New Roman" w:hAnsi="Times New Roman" w:cs="Times New Roman"/>
                <w:shd w:val="clear" w:color="auto" w:fill="ffffff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бедности,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19,3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безработицы,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граждан, систематически занимающихся физической культурой и спортом,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55,5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56,8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образования,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59,4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семей, улучшивших жилищные условия, тыс. семей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жилых помещений, квадратных метров на одного жителя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24,05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окружающей среды,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108,3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твердых коммунальных отходов, направленных на обработку (сортировку), в общей массе образованных твердых коммунальных отходов,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4*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563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физического объема ВРП,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131,1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142,6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401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производительности труда,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132,1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160,4*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Реальная начисленная заработная плата,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118,5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120,9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Реальные располагаемые денежные доходы населения,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112,9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117,6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104,2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физического объема инвестиций в основной капитал,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143,0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142,6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253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производства продукции сельского хозяйства в хозяйствах всех категорий,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82,8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 роста (индекс роста) численности занятых в сфере МСП, включая индивидуальных предпринимателей и самозанятых, % к 2021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112,8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116,7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экспорта, % к базовому году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161,8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2607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1611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trHeight w:val="850"/>
        </w:trPr>
        <w:tblPrEx/>
        <w:tc>
          <w:tcPr>
            <w:tcW w:w="568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542" w:type="dxa"/>
            <w:tcBorders>
              <w:top w:val="none" w:color="000000" w:sz="4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Среднегодовая численность занятых в экономике, тыс.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417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456,8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462,0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272" w:type="dxa"/>
            <w:tcBorders>
              <w:top w:val="none" w:color="000000" w:sz="4" w:space="0"/>
              <w:left w:val="non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Times New Roman" w:cs="Times New Roman"/>
          <w:bCs/>
          <w:i/>
          <w:sz w:val="20"/>
          <w:szCs w:val="20"/>
        </w:rPr>
      </w:pPr>
      <w:r>
        <w:rPr>
          <w:rFonts w:ascii="Times New Roman" w:hAnsi="Times New Roman" w:eastAsia="Times New Roman" w:cs="Times New Roman"/>
          <w:sz w:val="24"/>
          <w:szCs w:val="28"/>
          <w:lang w:eastAsia="ru-RU"/>
        </w:rPr>
        <w:t xml:space="preserve">*</w:t>
      </w:r>
      <w:r>
        <w:rPr>
          <w:rFonts w:ascii="Times New Roman" w:hAnsi="Times New Roman" w:eastAsia="Times New Roman" w:cs="Times New Roman"/>
          <w:i/>
          <w:sz w:val="20"/>
          <w:szCs w:val="20"/>
          <w:lang w:eastAsia="ru-RU"/>
        </w:rPr>
        <w:t xml:space="preserve">оценка</w:t>
      </w:r>
      <w:r>
        <w:rPr>
          <w:rFonts w:ascii="Times New Roman" w:hAnsi="Times New Roman" w:eastAsia="Times New Roman" w:cs="Times New Roman"/>
          <w:bCs/>
          <w:i/>
          <w:sz w:val="20"/>
          <w:szCs w:val="20"/>
        </w:rPr>
      </w:r>
      <w:r>
        <w:rPr>
          <w:rFonts w:ascii="Times New Roman" w:hAnsi="Times New Roman" w:eastAsia="Times New Roman" w:cs="Times New Roman"/>
          <w:bCs/>
          <w:i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bCs/>
          <w:i/>
          <w:sz w:val="20"/>
          <w:szCs w:val="20"/>
        </w:rPr>
      </w:pPr>
      <w:r>
        <w:rPr>
          <w:rFonts w:ascii="Times New Roman" w:hAnsi="Times New Roman" w:eastAsia="Times New Roman" w:cs="Times New Roman"/>
          <w:bCs/>
          <w:i/>
          <w:sz w:val="20"/>
          <w:szCs w:val="20"/>
        </w:rPr>
      </w:r>
      <w:r>
        <w:rPr>
          <w:rFonts w:ascii="Times New Roman" w:hAnsi="Times New Roman" w:eastAsia="Times New Roman" w:cs="Times New Roman"/>
          <w:bCs/>
          <w:i/>
          <w:sz w:val="20"/>
          <w:szCs w:val="20"/>
        </w:rPr>
      </w:r>
      <w:r>
        <w:rPr>
          <w:rFonts w:ascii="Times New Roman" w:hAnsi="Times New Roman" w:eastAsia="Times New Roman" w:cs="Times New Roman"/>
          <w:bCs/>
          <w:i/>
          <w:sz w:val="20"/>
          <w:szCs w:val="20"/>
        </w:rPr>
      </w:r>
    </w:p>
    <w:p>
      <w:pPr>
        <w:pStyle w:val="1146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</w:rPr>
        <w:t xml:space="preserve">Таким образом, доля выполненных ключевых показателей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 Стратегии социально-экономического развития Забайкальского края до 2035 года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2024 году составила 58</w:t>
      </w:r>
      <w:r>
        <w:rPr>
          <w:rFonts w:ascii="Times New Roman" w:hAnsi="Times New Roman" w:cs="Times New Roman"/>
          <w:sz w:val="28"/>
          <w:shd w:val="clear" w:color="auto" w:fill="ffffff"/>
        </w:rPr>
        <w:t xml:space="preserve">%. </w:t>
      </w:r>
      <w:r>
        <w:rPr>
          <w:rFonts w:ascii="Times New Roman" w:hAnsi="Times New Roman" w:cs="Times New Roman"/>
          <w:sz w:val="28"/>
          <w:shd w:val="clear" w:color="auto" w:fill="ffffff"/>
        </w:rPr>
      </w:r>
      <w:r>
        <w:rPr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1146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  <w:t xml:space="preserve">Недостижение значений показателей отмечено по группе демографических показателей.</w:t>
      </w:r>
      <w:r>
        <w:rPr>
          <w:rFonts w:ascii="Times New Roman" w:hAnsi="Times New Roman" w:cs="Times New Roman"/>
          <w:sz w:val="28"/>
          <w:shd w:val="clear" w:color="auto" w:fill="ffffff"/>
        </w:rPr>
      </w:r>
      <w:r>
        <w:rPr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1146"/>
        <w:ind w:firstLine="709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>
        <w:rPr>
          <w:rFonts w:ascii="Times New Roman" w:hAnsi="Times New Roman" w:cs="Times New Roman"/>
          <w:sz w:val="28"/>
          <w:shd w:val="clear" w:color="auto" w:fill="ffffff"/>
        </w:rPr>
      </w:r>
      <w:r>
        <w:rPr>
          <w:rFonts w:ascii="Times New Roman" w:hAnsi="Times New Roman" w:cs="Times New Roman"/>
          <w:sz w:val="28"/>
          <w:shd w:val="clear" w:color="auto" w:fill="ffffff"/>
        </w:rPr>
      </w:r>
      <w:r>
        <w:rPr>
          <w:rFonts w:ascii="Times New Roman" w:hAnsi="Times New Roman" w:cs="Times New Roman"/>
          <w:sz w:val="28"/>
          <w:shd w:val="clear" w:color="auto" w:fill="ffffff"/>
        </w:rPr>
      </w:r>
    </w:p>
    <w:p>
      <w:pPr>
        <w:pStyle w:val="1038"/>
        <w:spacing w:after="0" w:line="240" w:lineRule="auto"/>
        <w:ind w:left="0"/>
        <w:jc w:val="center"/>
        <w:outlineLvl w:val="2"/>
      </w:pPr>
      <w:bookmarkStart w:id="60" w:name="_Toc204259660"/>
      <w:r>
        <w:rPr>
          <w:rFonts w:ascii="Times New Roman" w:hAnsi="Times New Roman"/>
          <w:b/>
          <w:sz w:val="28"/>
          <w:szCs w:val="28"/>
        </w:rPr>
        <w:t xml:space="preserve">1.3. Ключевые проблемы и конкурентные преимущества</w:t>
      </w:r>
      <w:bookmarkEnd w:id="60"/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Ключевыми пробл</w:t>
      </w:r>
      <w:r>
        <w:rPr>
          <w:rFonts w:ascii="Times New Roman" w:hAnsi="Times New Roman" w:cs="Times New Roman"/>
          <w:sz w:val="28"/>
          <w:szCs w:val="28"/>
        </w:rPr>
        <w:t xml:space="preserve">емами социально-экономического развития Забайкальского края, требующими активной политики по их решению, являются (таблица 15):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низкие среднедушевые денежные доходы населения, кото</w:t>
      </w:r>
      <w:r>
        <w:rPr>
          <w:rFonts w:ascii="Times New Roman" w:hAnsi="Times New Roman"/>
          <w:sz w:val="28"/>
          <w:szCs w:val="28"/>
        </w:rPr>
        <w:t xml:space="preserve">рые ограничивают потенциал роста потребительских отраслей, что негативно сказывается на развитии МСП и на формировании доходов краевого и местных бюджетов, а также стимулирует трудовую миграцию, особенно молодежи, создавая дефицит квалифицированных кадров;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низкая инвестиционная привлекательность региона, вызванная депрессивностью в показателях экономического развития (</w:t>
      </w:r>
      <w:r>
        <w:rPr>
          <w:rFonts w:ascii="Times New Roman" w:hAnsi="Times New Roman"/>
          <w:sz w:val="28"/>
          <w:szCs w:val="28"/>
        </w:rPr>
        <w:t xml:space="preserve">моноотраслевая</w:t>
      </w:r>
      <w:r>
        <w:rPr>
          <w:rFonts w:ascii="Times New Roman" w:hAnsi="Times New Roman"/>
          <w:sz w:val="28"/>
          <w:szCs w:val="28"/>
        </w:rPr>
        <w:t xml:space="preserve"> структура экономики, снижение численности занятых, высокий уровень безработицы, низкая покупательская способность населения и </w:t>
      </w:r>
      <w:r>
        <w:rPr>
          <w:rFonts w:ascii="Times New Roman" w:hAnsi="Times New Roman"/>
          <w:sz w:val="28"/>
          <w:szCs w:val="28"/>
        </w:rPr>
        <w:t xml:space="preserve">др.);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отставание края по качеству жизни населения, высокая степень проявления отдельных факторов социального неблагополучия, ограничивающие возможности формирования и привлечения качественного человеческого капитала;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площадь аварийного жилья, требующего ра</w:t>
      </w:r>
      <w:r>
        <w:rPr>
          <w:rFonts w:ascii="Times New Roman" w:hAnsi="Times New Roman"/>
          <w:sz w:val="28"/>
          <w:szCs w:val="28"/>
        </w:rPr>
        <w:t xml:space="preserve">сселения в г. Чите – 563 тыс. кв. метров;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высокая межрайонная дифференциация социально-экономического развития, снижающая финансово-экономическую базу развития отдельных муниципальных образований и края в целом, что сдерживает прогресс экономической динами</w:t>
      </w:r>
      <w:r>
        <w:rPr>
          <w:rFonts w:ascii="Times New Roman" w:hAnsi="Times New Roman"/>
          <w:sz w:val="28"/>
          <w:szCs w:val="28"/>
        </w:rPr>
        <w:t xml:space="preserve">ки и инвестиций в человеческий капитал, а также развитие социальной инфраструктуры;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ограничения в мобильности трудовых ресурсов и возможности для кооперации и развития хозяйственных связей внутри края вследствие значительных расстояний между основными цент</w:t>
      </w:r>
      <w:r>
        <w:rPr>
          <w:rFonts w:ascii="Times New Roman" w:hAnsi="Times New Roman"/>
          <w:sz w:val="28"/>
          <w:szCs w:val="28"/>
        </w:rPr>
        <w:t xml:space="preserve">рами концентрации населения (приложение А);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фрагментарно сформированный каркас автомобильных дорог, выраженный в отсутствии связи населенных пунктов в зоне БАМа по автомобильным дорогам с г. Читой и другими территориями в южной и центральной частях края (п</w:t>
      </w:r>
      <w:r>
        <w:rPr>
          <w:rFonts w:ascii="Times New Roman" w:hAnsi="Times New Roman"/>
          <w:sz w:val="28"/>
          <w:szCs w:val="28"/>
        </w:rPr>
        <w:t xml:space="preserve">риложение Б), а также неудовлетворительное состояние автомобильных дорог, оказывающее негативное влияние на расселение и состояние социально-культурных объектов;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физическое устаревание энергетического оборудования. Локальный дефицит электрической мощности,</w:t>
      </w:r>
      <w:r>
        <w:rPr>
          <w:rFonts w:ascii="Times New Roman" w:hAnsi="Times New Roman"/>
          <w:sz w:val="28"/>
          <w:szCs w:val="28"/>
        </w:rPr>
        <w:t xml:space="preserve"> обусловленный неразвитостью сетевого хозяйства (приложение В). При этом использование преимущественно угольных теплоэлектростанций и котельных создает значительные выбросы вредных веществ в атмосферу, что ухудшает экологическую ситуацию в крупнейших насел</w:t>
      </w:r>
      <w:r>
        <w:rPr>
          <w:rFonts w:ascii="Times New Roman" w:hAnsi="Times New Roman"/>
          <w:sz w:val="28"/>
          <w:szCs w:val="28"/>
        </w:rPr>
        <w:t xml:space="preserve">енных пунктах края;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отсутствие инфраструктуры в экономически неосвоенных районах, затрудняет вовлечение в коммерческую деятельность природных ресурсов, находящихся на этих территориях, и приводит к значительному удорожанию стоимости проектов новых создавае</w:t>
      </w:r>
      <w:r>
        <w:rPr>
          <w:rFonts w:ascii="Times New Roman" w:hAnsi="Times New Roman"/>
          <w:sz w:val="28"/>
          <w:szCs w:val="28"/>
        </w:rPr>
        <w:t xml:space="preserve">мых предприятий по добыче, переработке и транспортировке минерального сырья;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низкий объем бюджетных доходов на душу населения, ограничивающий возможности региона развивать социальную инфраструктуру и обеспечивать население качественными государственными ус</w:t>
      </w:r>
      <w:r>
        <w:rPr>
          <w:rFonts w:ascii="Times New Roman" w:hAnsi="Times New Roman"/>
          <w:sz w:val="28"/>
          <w:szCs w:val="28"/>
        </w:rPr>
        <w:t xml:space="preserve">лугами, а также осуществлять модернизацию инфраструктуры и формировать стимулы экономического роста. Высокая зависимость от федеральных трансфертов в условиях макроэкономической нестабильности и тенденции замедления темпов роста национальной экономики може</w:t>
      </w:r>
      <w:r>
        <w:rPr>
          <w:rFonts w:ascii="Times New Roman" w:hAnsi="Times New Roman"/>
          <w:sz w:val="28"/>
          <w:szCs w:val="28"/>
        </w:rPr>
        <w:t xml:space="preserve">т существенно затормозить как экономическое, так и социальное развитие края;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5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негативная экологическая обстановка, вызванная, в том числе результатами деятельности предприятий горнодобывающей промышленности.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Негативное </w:t>
      </w:r>
      <w:r>
        <w:rPr>
          <w:rFonts w:ascii="Times New Roman" w:hAnsi="Times New Roman" w:cs="Times New Roman"/>
          <w:sz w:val="28"/>
          <w:szCs w:val="28"/>
        </w:rPr>
        <w:t xml:space="preserve">влияние</w:t>
      </w:r>
      <w:r>
        <w:rPr>
          <w:rFonts w:ascii="Times New Roman" w:hAnsi="Times New Roman"/>
          <w:sz w:val="28"/>
          <w:szCs w:val="28"/>
        </w:rPr>
        <w:t xml:space="preserve"> внешних факторов усиливается введением санкций, что приводит к увеличению рисков реализации мероприятий Стр</w:t>
      </w:r>
      <w:r>
        <w:rPr>
          <w:rFonts w:ascii="Times New Roman" w:hAnsi="Times New Roman"/>
          <w:sz w:val="28"/>
          <w:szCs w:val="28"/>
        </w:rPr>
        <w:t xml:space="preserve">атегии. Количественная оценка рисков представлена в приложении 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15. Матрица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SWOT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33"/>
        <w:tblW w:w="9351" w:type="dxa"/>
        <w:tblLook w:val="04A0" w:firstRow="1" w:lastRow="0" w:firstColumn="1" w:lastColumn="0" w:noHBand="0" w:noVBand="1"/>
      </w:tblPr>
      <w:tblGrid>
        <w:gridCol w:w="4644"/>
        <w:gridCol w:w="4707"/>
      </w:tblGrid>
      <w:tr>
        <w:trPr>
          <w:trHeight w:val="236"/>
          <w:tblHeader/>
        </w:trPr>
        <w:tblPrEx/>
        <w:tc>
          <w:tcPr>
            <w:tcW w:w="4531" w:type="dxa"/>
            <w:noWrap w:val="false"/>
            <w:textDirection w:val="lrTb"/>
            <w:vAlign w:val="center"/>
          </w:tcPr>
          <w:p>
            <w:pPr>
              <w:widowControl w:val="o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 xml:space="preserve">Силы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4820" w:type="dxa"/>
            <w:noWrap w:val="false"/>
            <w:textDirection w:val="lrTb"/>
            <w:vAlign w:val="center"/>
          </w:tcPr>
          <w:p>
            <w:pPr>
              <w:widowControl w:val="o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 xml:space="preserve">Возможности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4531" w:type="dxa"/>
            <w:noWrap w:val="false"/>
            <w:textDirection w:val="lrTb"/>
          </w:tcPr>
          <w:p>
            <w:pPr>
              <w:pStyle w:val="1038"/>
              <w:widowControl w:val="off"/>
              <w:numPr>
                <w:numId w:val="6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крупные транзитно-логистические коридоры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6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 значительных запасов разнообразных природных ресурсов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6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уникальный туристический потенциал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6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наличие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преференциальных режимов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6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инвестиции в обрабатывающую промышленность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820" w:type="dxa"/>
            <w:noWrap w:val="false"/>
            <w:textDirection w:val="lrTb"/>
            <w:vAlign w:val="center"/>
          </w:tcPr>
          <w:p>
            <w:pPr>
              <w:pStyle w:val="1038"/>
              <w:widowControl w:val="off"/>
              <w:numPr>
                <w:numId w:val="7"/>
                <w:ilvl w:val="0"/>
              </w:numPr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«разворот на Восток» во внешнеэкономической политике России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7"/>
                <w:ilvl w:val="0"/>
              </w:numPr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 спроса на продукцию цветной металлургии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7"/>
                <w:ilvl w:val="0"/>
              </w:numPr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увеличение спроса на</w:t>
            </w:r>
            <w: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экологический, этнокультурный и рекреационный туризм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7"/>
                <w:ilvl w:val="0"/>
              </w:numPr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рост спроса на экологически чистую пищевую продукцию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7"/>
                <w:ilvl w:val="0"/>
              </w:numPr>
              <w:spacing w:after="0" w:line="240" w:lineRule="auto"/>
              <w:ind w:left="320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статус приоритетной геостратегической территории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31" w:type="dxa"/>
            <w:noWrap w:val="false"/>
            <w:textDirection w:val="lrTb"/>
            <w:vAlign w:val="center"/>
          </w:tcPr>
          <w:p>
            <w:pPr>
              <w:widowControl w:val="o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 xml:space="preserve">Слабости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4820" w:type="dxa"/>
            <w:noWrap w:val="false"/>
            <w:textDirection w:val="lrTb"/>
            <w:vAlign w:val="center"/>
          </w:tcPr>
          <w:p>
            <w:pPr>
              <w:widowControl w:val="off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Calibri" w:cs="Times New Roman"/>
                <w:b/>
                <w:bCs/>
                <w:sz w:val="24"/>
                <w:szCs w:val="24"/>
              </w:rPr>
              <w:t xml:space="preserve">Угрозы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4531" w:type="dxa"/>
            <w:noWrap w:val="false"/>
            <w:textDirection w:val="lrTb"/>
            <w:vAlign w:val="center"/>
          </w:tcPr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низкие среднедушевые денежные доходы населения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дефицит квалифицированных кадров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низкая продолжительность жизни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высокая межрайонная дифференциация социально-эконом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ического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развития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дефицит и износ магистральной инфраструктуры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дотационность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бюджета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8"/>
                <w:ilvl w:val="0"/>
              </w:numPr>
              <w:spacing w:after="0" w:line="240" w:lineRule="auto"/>
              <w:ind w:left="315" w:hanging="284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неблагоприятная экологическая ситуация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4820" w:type="dxa"/>
            <w:noWrap w:val="false"/>
            <w:textDirection w:val="lrTb"/>
            <w:vAlign w:val="center"/>
          </w:tcPr>
          <w:p>
            <w:pPr>
              <w:pStyle w:val="1038"/>
              <w:widowControl w:val="off"/>
              <w:numPr>
                <w:numId w:val="9"/>
                <w:ilvl w:val="0"/>
              </w:numPr>
              <w:tabs>
                <w:tab w:val="clear" w:pos="0" w:leader="none"/>
              </w:tabs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сокращение транзитных потоков и внешнеторговых связей с отдельными государствами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9"/>
                <w:ilvl w:val="0"/>
              </w:numPr>
              <w:tabs>
                <w:tab w:val="clear" w:pos="0" w:leader="none"/>
              </w:tabs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монозависимость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внешней торговли, прямых иностранных инвестиций и те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хнологий от КНР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9"/>
                <w:ilvl w:val="0"/>
              </w:numPr>
              <w:tabs>
                <w:tab w:val="clear" w:pos="0" w:leader="none"/>
              </w:tabs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замедление темпов роста российской экономики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9"/>
                <w:ilvl w:val="0"/>
              </w:numPr>
              <w:tabs>
                <w:tab w:val="clear" w:pos="0" w:leader="none"/>
              </w:tabs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сокращение трансфертов из федерального бюджета 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1038"/>
              <w:widowControl w:val="off"/>
              <w:numPr>
                <w:numId w:val="9"/>
                <w:ilvl w:val="0"/>
              </w:numPr>
              <w:tabs>
                <w:tab w:val="clear" w:pos="0" w:leader="none"/>
              </w:tabs>
              <w:spacing w:after="0" w:line="240" w:lineRule="auto"/>
              <w:ind w:left="283" w:hanging="283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отток населения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ориентирована на реализацию конкурентных преимуществ и потенциальных возможностей региона (таблица 16):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numPr>
          <w:numId w:val="10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близкое расположение к быстрорастущим восточноазиатским центрам мирового экономического роста, наличие стратегических трансграничных железнодорожных и автомобильных транспортных магистралей, связывающих Забайкальский край и другие субъекты Российской Федер</w:t>
      </w:r>
      <w:r>
        <w:rPr>
          <w:rFonts w:ascii="Times New Roman" w:hAnsi="Times New Roman"/>
          <w:sz w:val="28"/>
          <w:szCs w:val="28"/>
        </w:rPr>
        <w:t xml:space="preserve">ации с рынками стран АТР. Переориентация грузопотока с европейского направления на восточное в результате «разворота на Восток» внешнеэкономической политики России вероятно увеличит потребность в перевозке экспортных грузов по Северному Евразийскому коридо</w:t>
      </w:r>
      <w:r>
        <w:rPr>
          <w:rFonts w:ascii="Times New Roman" w:hAnsi="Times New Roman"/>
          <w:sz w:val="28"/>
          <w:szCs w:val="28"/>
        </w:rPr>
        <w:t xml:space="preserve">ру на 79,7 млн тонн грузов в год. Транспортная система Забайкальского края потенциально способна обеспечить 82 % дополнительной потребности в перевозках (рисунок 1). Кроме того, развитие отношений с КНР открывает возможности для привлечения инвестиций, тех</w:t>
      </w:r>
      <w:r>
        <w:rPr>
          <w:rFonts w:ascii="Times New Roman" w:hAnsi="Times New Roman"/>
          <w:sz w:val="28"/>
          <w:szCs w:val="28"/>
        </w:rPr>
        <w:t xml:space="preserve">нологий и увеличения туристического потока в регион;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9067" cy="2424546"/>
                <wp:effectExtent l="0" t="0" r="5080" b="0"/>
                <wp:docPr id="3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rcRect l="0" t="14927" r="0" b="12503"/>
                        <a:stretch/>
                      </pic:blipFill>
                      <pic:spPr bwMode="auto">
                        <a:xfrm>
                          <a:off x="0" y="0"/>
                          <a:ext cx="5939790" cy="24248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64pt;height:190.91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Рисунок 1. Переориентация грузопотока в восточном направлении</w:t>
      </w:r>
      <w:r>
        <w:rPr>
          <w:rFonts w:ascii="Times New Roman" w:hAnsi="Times New Roman"/>
          <w:color w:val="000000" w:themeColor="text1"/>
          <w:sz w:val="28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</w:r>
    </w:p>
    <w:p>
      <w:pPr>
        <w:pStyle w:val="1038"/>
        <w:numPr>
          <w:numId w:val="10"/>
          <w:ilvl w:val="0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значительные доступные запасы минерально-сырьевых ресурсов: золото, железо, ме</w:t>
      </w:r>
      <w:r>
        <w:rPr>
          <w:rFonts w:ascii="Times New Roman" w:hAnsi="Times New Roman"/>
          <w:sz w:val="28"/>
          <w:szCs w:val="28"/>
        </w:rPr>
        <w:t xml:space="preserve">дь, уран, серебро, цинк уголь, свинец и др. (таблица 16, приложение Д) и близость к крупному рынку КНР формируют </w:t>
      </w:r>
      <w:r>
        <w:rPr>
          <w:rFonts w:ascii="Times New Roman" w:hAnsi="Times New Roman"/>
          <w:sz w:val="28"/>
          <w:szCs w:val="28"/>
        </w:rPr>
        <w:t xml:space="preserve">благоприятные условия для создания горно-металлургического кластера, ориентированного на экспорт, с высокой отдачей для регионального развития;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16. Потенциал роста добычи полезных ископаемых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33"/>
        <w:tblW w:w="0" w:type="auto"/>
        <w:tblLook w:val="04A0" w:firstRow="1" w:lastRow="0" w:firstColumn="1" w:lastColumn="0" w:noHBand="0" w:noVBand="1"/>
      </w:tblPr>
      <w:tblGrid>
        <w:gridCol w:w="3114"/>
        <w:gridCol w:w="3260"/>
        <w:gridCol w:w="2970"/>
      </w:tblGrid>
      <w:tr>
        <w:trPr>
          <w:trHeight w:val="340"/>
          <w:tblHeader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Полезное ископаемое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Потенциал добычи, в год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Рост к 2020 году, раз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Золото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85,4 тонны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Железная руда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28,1 млн тонн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586,3 тыс. тонн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6,2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Уголь</w:t>
            </w:r>
            <w:r>
              <w:rPr>
                <w:rStyle w:val="1036"/>
                <w:rFonts w:ascii="Times New Roman" w:hAnsi="Times New Roman" w:cs="Times New Roman"/>
                <w:sz w:val="24"/>
                <w:szCs w:val="24"/>
              </w:rPr>
              <w:footnoteReference w:id="8"/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53,0 млн тонн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Серебро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1 237,6 тонны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2,6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225,2 тыс. тонн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4 344,0 тонны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trHeight w:val="340"/>
        </w:trPr>
        <w:tblPrEx/>
        <w:tc>
          <w:tcPr>
            <w:tcW w:w="311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Свинец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26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204,6 тыс. тонн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2970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pStyle w:val="1038"/>
        <w:numPr>
          <w:numId w:val="10"/>
          <w:ilvl w:val="0"/>
        </w:numPr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высокий потенциал развития мясного животноводства и производства зерновых и масличных культур, в том числе для экспортных поставок, за счет вовлечения в оборот выбывших земель сельскохозяйственного назначения. В связи с ростом спроса на экологически чистую</w:t>
      </w:r>
      <w:r>
        <w:rPr>
          <w:rFonts w:ascii="Times New Roman" w:hAnsi="Times New Roman"/>
          <w:sz w:val="28"/>
          <w:szCs w:val="28"/>
        </w:rPr>
        <w:t xml:space="preserve"> пищевую продукцию определенные перспективы связаны с повышением товарности в сельском хозяйстве и развитием традиционных направлений хозяйственной деятельности (мясное скотоводство, овцеводство и мясное табунное коневодство);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0"/>
          <w:ilvl w:val="0"/>
        </w:numPr>
        <w:tabs>
          <w:tab w:val="left" w:pos="1134" w:leader="none"/>
        </w:tabs>
        <w:spacing w:before="120"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высокий потенциал лесных ресурсов (приложение Ж) позволяет расширить их вовлечение в коммерческое использование, в том числе за счет развития деревообработки и переработки низкотоварного сырья и отходов производства. В результате проведения работ по 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лесоус</w:t>
      </w:r>
      <w:r>
        <w:rPr>
          <w:rFonts w:ascii="Times New Roman" w:hAnsi="Times New Roman"/>
          <w:color w:val="0d0d0d" w:themeColor="text1" w:themeTint="F2"/>
          <w:sz w:val="28"/>
          <w:szCs w:val="28"/>
        </w:rPr>
        <w:t xml:space="preserve">тройству возможна сдача в аренду дополнительно 2,75 млн гектаров площади с расчетной заготовкой леса более 1 млн кубических метров;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0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широкие возможности для развития туризма (экологического, этнокультурного и рекреационного), в том числе с ориентацией на ту</w:t>
      </w:r>
      <w:r>
        <w:rPr>
          <w:rFonts w:ascii="Times New Roman" w:hAnsi="Times New Roman"/>
          <w:sz w:val="28"/>
          <w:szCs w:val="28"/>
        </w:rPr>
        <w:t xml:space="preserve">ристов из стран АТР. Потенциал увеличения турпотока оценивается в 2,5 раза до 841,4 тыс. человек в год (рисунок 4). Развитие туристической отрасли может способствовать созданию рабочих мест, в том числе в смежных отраслях, и диверсификации занятости в сель</w:t>
      </w:r>
      <w:r>
        <w:rPr>
          <w:rFonts w:ascii="Times New Roman" w:hAnsi="Times New Roman"/>
          <w:sz w:val="28"/>
          <w:szCs w:val="28"/>
        </w:rPr>
        <w:t xml:space="preserve">ских территориях;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rPr>
          <w:rFonts w:ascii="Times New Roman" w:hAnsi="Times New Roman"/>
          <w:sz w:val="28"/>
          <w:szCs w:val="28"/>
        </w:rPr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38347" cy="2682240"/>
                <wp:effectExtent l="0" t="0" r="5715" b="3810"/>
                <wp:docPr id="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rcRect l="0" t="16470" r="0" b="7760"/>
                        <a:stretch/>
                      </pic:blipFill>
                      <pic:spPr bwMode="auto">
                        <a:xfrm>
                          <a:off x="0" y="0"/>
                          <a:ext cx="5948577" cy="26868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67.59pt;height:211.20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Рисунок 4. Потенциал туристической отрасли Забайкальского края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</w:p>
    <w:p>
      <w:pPr>
        <w:pStyle w:val="1038"/>
        <w:numPr>
          <w:numId w:val="10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преференциальный режим ТОР, направленный на формирование благоприятных условий для привлечения инвестиций (ТОР «Забайкалье» и ТОР «Краснокаменск»), в условиях макроэкономич</w:t>
      </w:r>
      <w:r>
        <w:rPr>
          <w:rFonts w:ascii="Times New Roman" w:hAnsi="Times New Roman"/>
          <w:sz w:val="28"/>
          <w:szCs w:val="28"/>
        </w:rPr>
        <w:t xml:space="preserve">еской нестабильности может стать дополнительным фактором повышения конкурентоспособности Забайкальского края и притяжения нового бизнеса, в том числе из центральной части страны, а также международных партнеров. В рамках реализации Национальной программы р</w:t>
      </w:r>
      <w:r>
        <w:rPr>
          <w:rFonts w:ascii="Times New Roman" w:hAnsi="Times New Roman"/>
          <w:sz w:val="28"/>
          <w:szCs w:val="28"/>
        </w:rPr>
        <w:t xml:space="preserve">азвития Дальнего Востока высока вероятность распространения режима свободного порта Владивосток на муниципальные образования Забайкальского края;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статус приоритетной геостратегической территории, обозначенный в Стратегии пространственного развития Российск</w:t>
      </w:r>
      <w:r>
        <w:rPr>
          <w:rFonts w:ascii="Times New Roman" w:hAnsi="Times New Roman"/>
          <w:sz w:val="28"/>
          <w:szCs w:val="28"/>
        </w:rPr>
        <w:t xml:space="preserve">ой Федерации, и предусматривающий приоритетное получение мер государственной поддержки из федерального бюджета.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1" w:name="_Toc204259661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ЦЕЛИ И ПРИОРИТЕТЫ</w:t>
      </w:r>
      <w:bookmarkEnd w:id="61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направлена на достижение к 2035 году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главной стратегической цели</w:t>
      </w:r>
      <w:r>
        <w:rPr>
          <w:rFonts w:ascii="Times New Roman" w:hAnsi="Times New Roman" w:cs="Times New Roman"/>
          <w:sz w:val="28"/>
          <w:szCs w:val="28"/>
        </w:rPr>
        <w:t xml:space="preserve"> (ГСЦ) социально-экономического развития Заб</w:t>
      </w:r>
      <w:r>
        <w:rPr>
          <w:rFonts w:ascii="Times New Roman" w:hAnsi="Times New Roman" w:cs="Times New Roman"/>
          <w:sz w:val="28"/>
          <w:szCs w:val="28"/>
        </w:rPr>
        <w:t xml:space="preserve">айкальского края – высокий уровень жизни населения и ускоренный экономический рост за счет ориентации на три приоритета: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numPr>
          <w:numId w:val="1"/>
          <w:ilvl w:val="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человеческого капитала;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"/>
          <w:ilvl w:val="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конкурентоспособности экономики;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"/>
          <w:ilvl w:val="0"/>
        </w:numPr>
        <w:spacing w:after="159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сбалансированное пространственное развитие.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приоритетов развития с учетом ключевых проблем и конкурентных преимуществ Забайкальского края определены стратегические цели (СЦ):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СЦ-1</w:t>
      </w:r>
      <w:r>
        <w:rPr>
          <w:rFonts w:ascii="Times New Roman" w:hAnsi="Times New Roman"/>
          <w:sz w:val="28"/>
          <w:szCs w:val="28"/>
        </w:rPr>
        <w:t xml:space="preserve"> – обеспечение среднероссийских стандартов качества жизни населения на основе современного здравоохранения, обра</w:t>
      </w:r>
      <w:r>
        <w:rPr>
          <w:rFonts w:ascii="Times New Roman" w:hAnsi="Times New Roman"/>
          <w:sz w:val="28"/>
          <w:szCs w:val="28"/>
        </w:rPr>
        <w:t xml:space="preserve">зования и широких возможностей самореализации индивидов с учетом принципа </w:t>
      </w:r>
      <w:r>
        <w:rPr>
          <w:rFonts w:ascii="Times New Roman" w:hAnsi="Times New Roman"/>
          <w:sz w:val="28"/>
          <w:szCs w:val="28"/>
        </w:rPr>
        <w:t xml:space="preserve">человекосбережения</w:t>
      </w:r>
      <w:r>
        <w:rPr>
          <w:rFonts w:ascii="Times New Roman" w:hAnsi="Times New Roman"/>
          <w:sz w:val="28"/>
          <w:szCs w:val="28"/>
        </w:rPr>
        <w:t xml:space="preserve"> как основы опережающего развития региона;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СЦ-2</w:t>
      </w:r>
      <w:r>
        <w:rPr>
          <w:rFonts w:ascii="Times New Roman" w:hAnsi="Times New Roman"/>
          <w:sz w:val="28"/>
          <w:szCs w:val="28"/>
        </w:rPr>
        <w:t xml:space="preserve"> – обеспечение опережающих среднероссийские темпов экономического роста, основанных на максимизации отдачи от реализа</w:t>
      </w:r>
      <w:r>
        <w:rPr>
          <w:rFonts w:ascii="Times New Roman" w:hAnsi="Times New Roman"/>
          <w:sz w:val="28"/>
          <w:szCs w:val="28"/>
        </w:rPr>
        <w:t xml:space="preserve">ции запасов природных ресурсов, выгодного экономико-географического положения и высокого рекреационного потенциала;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СЦ-3</w:t>
      </w:r>
      <w:r>
        <w:rPr>
          <w:rFonts w:ascii="Times New Roman" w:hAnsi="Times New Roman"/>
          <w:sz w:val="28"/>
          <w:szCs w:val="28"/>
        </w:rPr>
        <w:t xml:space="preserve"> – сокращение территориальных диспропорций в качестве жизни населения на основе совершенствования пространственной организации экономики</w:t>
      </w:r>
      <w:r>
        <w:rPr>
          <w:rFonts w:ascii="Times New Roman" w:hAnsi="Times New Roman"/>
          <w:sz w:val="28"/>
          <w:szCs w:val="28"/>
        </w:rPr>
        <w:t xml:space="preserve"> и сферы социальных услуг, развития инфраструктуры.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основных мероприятий и концентрация имеющихся ресурсов будет происходить по сгруппированному в рамках приоритетов развития 21 ключевому направлению (таблица 17), которые обеспечат: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диверсифика</w:t>
      </w:r>
      <w:r>
        <w:rPr>
          <w:rFonts w:ascii="Times New Roman" w:hAnsi="Times New Roman"/>
          <w:sz w:val="28"/>
          <w:szCs w:val="28"/>
        </w:rPr>
        <w:t xml:space="preserve">цию структуры экономики;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эффективности освоения природных ресурсов;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и развитие обрабатывающих производств;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приграничного и трансграничного экономического сотрудничества;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объемов привлеченных инвестиций в экономику и с</w:t>
      </w:r>
      <w:r>
        <w:rPr>
          <w:rFonts w:ascii="Times New Roman" w:hAnsi="Times New Roman"/>
          <w:sz w:val="28"/>
          <w:szCs w:val="28"/>
        </w:rPr>
        <w:t xml:space="preserve">оциальную сферу;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числа квалифицированных кадров;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преодоление инфраструктурной отсталости;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цифровизацию и экологизацию экономики и социальной сферы;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занятости и доходов населения;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159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качества социальных услуг.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17. Направления реализации Стратегии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33"/>
        <w:tblW w:w="9351" w:type="dxa"/>
        <w:tblLook w:val="04A0" w:firstRow="1" w:lastRow="0" w:firstColumn="1" w:lastColumn="0" w:noHBand="0" w:noVBand="1"/>
      </w:tblPr>
      <w:tblGrid>
        <w:gridCol w:w="2969"/>
        <w:gridCol w:w="6382"/>
      </w:tblGrid>
      <w:tr>
        <w:trPr>
          <w:trHeight w:val="350"/>
          <w:tblHeader/>
        </w:trPr>
        <w:tblPrEx/>
        <w:tc>
          <w:tcPr>
            <w:tcW w:w="2969" w:type="dxa"/>
            <w:noWrap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Приоритет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6382" w:type="dxa"/>
            <w:tcBorders>
              <w:bottom w:val="single" w:color="auto" w:sz="4" w:space="0"/>
            </w:tcBorders>
            <w:noWrap w:val="false"/>
            <w:textDirection w:val="lrTb"/>
            <w:vAlign w:val="center"/>
          </w:tcPr>
          <w:p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restart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 Развитие человеческого капитала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 Демографическое развитие. Социальная политика. Рост благосостояния. Эффективная занятость.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 Здравоохранение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 Образование и молодежная политика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 Культура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 Физическая культура и спорт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 Обеспечение безопасности жизнедеятельности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 Жилищное строительство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restart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 Повышение конкурентоспособности экономики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 Малое и среднее предпринимательство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 Рациональное природопользование и экологическая безопасность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 Горно-металлургический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 Развитие лесного комплекса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 Туризм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 Агропромышленный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 Научно-технологическое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 Внешнеэкономическая деятельность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restart"/>
            <w:tcBorders>
              <w:right w:val="single" w:color="auto" w:sz="4" w:space="0"/>
            </w:tcBorders>
            <w:noWrap/>
            <w:textDirection w:val="lrTb"/>
            <w:vAlign w:val="center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 Сбалансированное пространственное развитие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single" w:color="auto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 Транспортная инфраструктура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 Энергетический комплекс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 Жилищно-коммунальное хозяйство и благоустройство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  Цифровая трансформация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none" w:color="000000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 Территориальная организация оказания услуг отраслей социальной сферы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3"/>
        </w:trPr>
        <w:tblPrEx/>
        <w:tc>
          <w:tcPr>
            <w:tcW w:w="2969" w:type="dxa"/>
            <w:vMerge w:val="continue"/>
            <w:tcBorders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6382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textDirection w:val="lrTb"/>
          </w:tcPr>
          <w:p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 Социально-экономическое развитие Агинского Бурятского округа Забайкальского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Стратегии взаимосвязаны по приоритетам и направлениям реализации (таблица 18).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18. Иерархия и взаимосвязь целей Стратегии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33"/>
        <w:tblW w:w="0" w:type="auto"/>
        <w:tblLook w:val="04A0" w:firstRow="1" w:lastRow="0" w:firstColumn="1" w:lastColumn="0" w:noHBand="0" w:noVBand="1"/>
      </w:tblPr>
      <w:tblGrid>
        <w:gridCol w:w="846"/>
        <w:gridCol w:w="8498"/>
      </w:tblGrid>
      <w:tr>
        <w:trPr>
          <w:trHeight w:val="312"/>
        </w:trPr>
        <w:tblPrEx/>
        <w:tc>
          <w:tcPr>
            <w:tcW w:w="9344" w:type="dxa"/>
            <w:gridSpan w:val="2"/>
            <w:noWrap/>
            <w:textDirection w:val="lrTb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Главная стратегическая цель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9344" w:type="dxa"/>
            <w:gridSpan w:val="2"/>
            <w:noWrap/>
            <w:textDirection w:val="lrTb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СЦ-1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Развитие человеческого капитала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стабилизации численности и благосостояния населения Забайкальского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активного долголетия жителей Забайкальского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after="12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повышения доступности качественного образования, самореализации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азвития потенциала детей и молодежи Забайкальского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31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условий для воспитания гармонично развитой и социально ответственной личности на основе духовно-нравственных ценностей и исторических национально-культурных традиций народов Российской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Федерации и Забайкальского края, создание благоприятной и комфортной культурной среды, повышение уровня обеспечения доступности культурных благ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Забайкальском крае условий для ведения здорового образа жизни, систематических занятий физиче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ской культурой и спортом, в том числе для лиц с ограниченными возможностями здоровья, развитие базовых видов 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Забайкальском крае привлекательной среды для проживания человека и ведения бизнеса благодаря обеспечению высокого уровня общественной безопасности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строительного комплекса Забайкальского края для улучшения жилищных условий населен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ия, увеличения объема жилищного строительства и повышение качества социальной, инженерной и транспортной инфраструктуры и городской среды до среднероссийского уровня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Ц-1.8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жилищной и социальной инфраструктуры сельских территорий для улучшения кач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ества жизни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9344" w:type="dxa"/>
            <w:gridSpan w:val="2"/>
            <w:noWrap/>
            <w:textDirection w:val="lrTb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СЦ-2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Повышение конкурентоспособности экономики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Трансформация Забайкальского края в комфортный регион для ведения предпринимательской деятельности и увеличение вклада МСП в экономику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в Забайкальском крае экологической ситуации и снижение негативного воздействия хозяйственной деятельности человека на окружающую природную среду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 Забайкальском крае горно-металлургической отрасли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 Забайкальском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рае эколого-сберегающего производства глубокой комплексной деревообработки, конкурентоспособной на мировом и российском рынках, и обеспечение устойчивого эффективного управления лесами, обеспечивающее восполнение лесосырьевых ресурсов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в Забайкальском крае высокоразвитой, конкурентоспособной туристской индустрии, обеспечивающей широкие возможности для удовлетворения потребностей жителей края, российских и иностранных граждан в туристских услугах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Устойчивое развитие животн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оводства, растениеводства, пищевой и перерабатывающей промышленности, повышение конкурентоспособности сельскохозяйственной продукции, сырья и продовольствия, обеспечение продовольственной безопасности за счет модернизации производства, развития научной 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нновационной направленности (генетика и селекция), развития экспорта продукции агропромышленного комплекса, обеспечения эффективного вовлечения в оборот и управления землями сельскохозяйственного назначения, воспроизводства плодородия земель сельскохозяйст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венного назначения, цифровой трансформации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Стимулирование спроса на инновации, внедрение передовых технологий и выпуска инновационной продукции за счет активизации инновационных процессов, создания высокотехнологичных производств, технического перев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ооружения и модернизации действующих предприятий, а также привлечения в Забайкальский край научных кадров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Ц-2.8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внешнеторговой деятельности и международного сотрудничества в интересах национальной безопасности Российской Федерации, глобальной конкурентоспособности и эффективного развития Забайкальского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9344" w:type="dxa"/>
            <w:gridSpan w:val="2"/>
            <w:noWrap/>
            <w:textDirection w:val="lrTb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СЦ-3 Сбалансированное пространственное развитие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Удовлетворение потребностей экономики и населения Забайкальского края в качественных и безопасных транспортных услугах с учетом переориентации товарооборота на страны АТР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Трансформация энергетической системы Забайкальского края, направленная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энергообеспеченности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покрытия существующего и прогнозного дефицита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энергомощностей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населения Забайкальского края качественными коммунальными услугами и достижение высокого уровня благоустройства городских и сельских терри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торий за счет реконструкции и модернизации объектов коммунальной инфраструктуры, строительства новых объектов и развития общественных пространств с применением современных технологий и материалов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свободного, устойчивого, безопасного информационного взаимодействия между органами государственной и муниципальной власти,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гражданами, бизнесом, безопасности критической информационной инфраструктуры, а также устранения цифрового неравенства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отношении удаленных и малочисленных территорий Забайкальского края в доступе к телекоммуникационной инфраструктуре и цифровым сервисам современного уровня.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устойчивого и сбалансированного пространственного развития Забайкальского края,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аправленного на сокращение межрайонных различий в качестве жизни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устойчивого развития сельских территорий Забайкальского края путем социально-экономического совершенствования сельских населенных пунктов, направленного на развит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их внутренней и внешней инфраструктуры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312"/>
        </w:trPr>
        <w:tblPrEx/>
        <w:tc>
          <w:tcPr>
            <w:tcW w:w="846" w:type="dxa"/>
            <w:noWrap/>
            <w:textDirection w:val="lrTb"/>
            <w:vAlign w:val="center"/>
          </w:tcPr>
          <w:p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Ц-3.7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498" w:type="dxa"/>
            <w:noWrap/>
            <w:textDirection w:val="lrTb"/>
            <w:vAlign w:val="center"/>
          </w:tcPr>
          <w:p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Сохранение и использование традиционного сектора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этноэкономики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обеспечения высокого уровня качества жизни населения Агинского Бурятского округа Забайкальского края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реализации Стратегии осуществл</w:t>
      </w:r>
      <w:r>
        <w:rPr>
          <w:rFonts w:ascii="Times New Roman" w:hAnsi="Times New Roman" w:cs="Times New Roman"/>
          <w:sz w:val="28"/>
          <w:szCs w:val="28"/>
        </w:rPr>
        <w:t xml:space="preserve">яется по ключевым показателям социально-экономического развития Забайкальского края на период до 2035 года (приложение И).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1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highlight w:val="red"/>
        </w:rPr>
      </w:pPr>
      <w:bookmarkStart w:id="62" w:name="_Toc204259662"/>
      <w:r>
        <w:rPr>
          <w:rFonts w:ascii="Times New Roman" w:hAnsi="Times New Roman" w:cs="Times New Roman"/>
          <w:b/>
          <w:bCs/>
          <w:sz w:val="28"/>
          <w:szCs w:val="28"/>
        </w:rPr>
        <w:t xml:space="preserve">3. СЦЕНАРИИ СОЦИАЛЬНО-ЭКОНОМИЧЕСКОГО РАЗВИТИЯ</w:t>
      </w:r>
      <w:bookmarkEnd w:id="62"/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  <w:highlight w:val="red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red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Стратегией предусмотрены три сценария социально-экономического развития Забайкальского края: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консервативный, сохраняющий сложившуюся динамику развития;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базовый, соответствующий достижению национальных целей развития;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целевой, нацеленный на достижени</w:t>
      </w:r>
      <w:r>
        <w:rPr>
          <w:rFonts w:ascii="Times New Roman" w:hAnsi="Times New Roman"/>
          <w:sz w:val="28"/>
          <w:szCs w:val="28"/>
        </w:rPr>
        <w:t xml:space="preserve">е целей и решение задач социально-экономического развития, установленных Стратегией (таблица 19, рисунок 5).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Консервативный сценарий</w:t>
      </w:r>
      <w:r>
        <w:rPr>
          <w:rFonts w:ascii="Times New Roman" w:hAnsi="Times New Roman" w:cs="Times New Roman"/>
          <w:sz w:val="28"/>
          <w:szCs w:val="28"/>
        </w:rPr>
        <w:t xml:space="preserve"> предполагает сохранение сформировавшихся тенденций социально-экономического развития Забайкальского края. При консервативн</w:t>
      </w:r>
      <w:r>
        <w:rPr>
          <w:rFonts w:ascii="Times New Roman" w:hAnsi="Times New Roman" w:cs="Times New Roman"/>
          <w:sz w:val="28"/>
          <w:szCs w:val="28"/>
        </w:rPr>
        <w:t xml:space="preserve">ом сценарии социально-экономическое положение края будет стагнировать.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консервативного сценария приведет к следующим результатам: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слабый экономический рост, сконцентрированный преимущественно в сырьевом секторе;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снижение численности населения за</w:t>
      </w:r>
      <w:r>
        <w:rPr>
          <w:rFonts w:ascii="Times New Roman" w:hAnsi="Times New Roman"/>
          <w:sz w:val="28"/>
          <w:szCs w:val="28"/>
        </w:rPr>
        <w:t xml:space="preserve"> счет высокого уровня смертности и миграционного оттока;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сохранение отставания по показателям доступности и качества социальных услуг.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 реализации консервативного сценария в 2035 году относительно значений 2024 года ожидается: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снижение среднегодовой чи</w:t>
      </w:r>
      <w:r>
        <w:rPr>
          <w:rFonts w:ascii="Times New Roman" w:hAnsi="Times New Roman"/>
          <w:sz w:val="28"/>
          <w:szCs w:val="28"/>
        </w:rPr>
        <w:t xml:space="preserve">сленности постоянного населения на 4 %;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ожидаемой продолжительности жизни на 11,1 %;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left="425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снижение количества семей, улучшивших жилищные условия, </w:t>
      </w:r>
      <w:r>
        <w:rPr>
          <w:rFonts w:ascii="Times New Roman" w:hAnsi="Times New Roman"/>
          <w:sz w:val="28"/>
          <w:szCs w:val="28"/>
        </w:rPr>
        <w:br/>
        <w:t xml:space="preserve">на 36,2 %;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реальной начисленной заработной платы на 40,3 %;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реальных располагаемых денежных доходов</w:t>
      </w:r>
      <w:r>
        <w:rPr>
          <w:rFonts w:ascii="Times New Roman" w:hAnsi="Times New Roman"/>
          <w:sz w:val="28"/>
          <w:szCs w:val="28"/>
        </w:rPr>
        <w:t xml:space="preserve"> населения на 44,7 %;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инвестиций в основной капитал на 12,5 %;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рост численности занятых в сфере МСП на 17,7% в 2024 году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ВРП на 42,1 %;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производительности труда на 36,6 %;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производства продукции сельского хозяйства на 10,6 %;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бюджетной обеспеченности на душу населения на 10,9 %;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оборота потребительского рынка на 36 %.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рост дохода в расчете на одного работника субъекта МСП в 1,53 раза;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widowControl w:val="off"/>
        <w:spacing w:before="159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Базовый сценарий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 достижение национальных целей, установленных в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Указе № 309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,</w:t>
      </w:r>
      <w:r>
        <w:rPr>
          <w:rFonts w:ascii="Times New Roman" w:hAnsi="Times New Roman" w:cs="Times New Roman"/>
          <w:sz w:val="28"/>
          <w:szCs w:val="28"/>
        </w:rPr>
        <w:t xml:space="preserve"> а также достижение показателей оценки эффективности деятельности высших должностных лиц (руководителей исполнительных органов власти) субъектов Российской Федераци</w:t>
      </w:r>
      <w:r>
        <w:rPr>
          <w:rFonts w:ascii="Times New Roman" w:hAnsi="Times New Roman" w:cs="Times New Roman"/>
          <w:sz w:val="28"/>
          <w:szCs w:val="28"/>
        </w:rPr>
        <w:t xml:space="preserve">и и деятельности органов исполнительной власти субъектов Российской </w:t>
      </w:r>
      <w:r>
        <w:rPr>
          <w:rFonts w:ascii="Times New Roman" w:hAnsi="Times New Roman" w:cs="Times New Roman"/>
          <w:sz w:val="28"/>
          <w:szCs w:val="28"/>
        </w:rPr>
        <w:t xml:space="preserve">Федерации</w:t>
      </w:r>
      <w:r>
        <w:rPr>
          <w:rStyle w:val="1036"/>
          <w:rFonts w:ascii="Times New Roman" w:hAnsi="Times New Roman" w:cs="Times New Roman"/>
          <w:sz w:val="28"/>
          <w:szCs w:val="28"/>
        </w:rPr>
        <w:footnoteReference w:id="9"/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соответствующих на региональном уровне показателям, характеризующим достижение национальных целей развития.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базового сценария приведет к следующим результатам: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</w:t>
      </w:r>
      <w:r>
        <w:rPr>
          <w:rFonts w:ascii="Times New Roman" w:hAnsi="Times New Roman"/>
          <w:sz w:val="28"/>
          <w:szCs w:val="28"/>
        </w:rPr>
        <w:t xml:space="preserve">шение устойчивости и самостоятельности консолидированного бюджета края, которая станет основой для реализации проектов развития с целью использования потенциала и конкурентных преимуществ территории;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инфраструктурной обеспеченности края как основы эко</w:t>
      </w:r>
      <w:r>
        <w:rPr>
          <w:rFonts w:ascii="Times New Roman" w:hAnsi="Times New Roman"/>
          <w:sz w:val="28"/>
          <w:szCs w:val="28"/>
        </w:rPr>
        <w:t xml:space="preserve">номического и социального развития с последующим увеличением инвестиций и занятости в транспортировке и хранении;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доли обрабатывающих производств в структуре ВРП.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данного сценария в 2035 году </w:t>
      </w:r>
      <w:r>
        <w:rPr>
          <w:rFonts w:ascii="Times New Roman" w:hAnsi="Times New Roman"/>
          <w:sz w:val="28"/>
          <w:szCs w:val="28"/>
        </w:rPr>
        <w:t xml:space="preserve">относительно значений 2024 года</w:t>
      </w:r>
      <w:r>
        <w:rPr>
          <w:rFonts w:ascii="Times New Roman" w:hAnsi="Times New Roman" w:cs="Times New Roman"/>
          <w:sz w:val="28"/>
          <w:szCs w:val="28"/>
        </w:rPr>
        <w:t xml:space="preserve"> ожидае</w:t>
      </w:r>
      <w:r>
        <w:rPr>
          <w:rFonts w:ascii="Times New Roman" w:hAnsi="Times New Roman" w:cs="Times New Roman"/>
          <w:sz w:val="28"/>
          <w:szCs w:val="28"/>
        </w:rPr>
        <w:t xml:space="preserve">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стабилизация среднегодовой численности постоянного населения;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ожидаемой продолжительности жизни на 16,8 %;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количества семей, улучшивших жилищные условия, на 6,2 %;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реальной начисленной заработной платы в 1,9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реальных распола</w:t>
      </w:r>
      <w:r>
        <w:rPr>
          <w:rFonts w:ascii="Times New Roman" w:hAnsi="Times New Roman"/>
          <w:sz w:val="28"/>
          <w:szCs w:val="28"/>
        </w:rPr>
        <w:t xml:space="preserve">гаемых денежных доходов населения в 2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инвестиций в основной капитал на 38 %;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рост численности занятых в сфере МСП на 17,7% в 2024 году</w:t>
      </w:r>
      <w:r>
        <w:rPr>
          <w:rFonts w:ascii="Times New Roman" w:hAnsi="Times New Roman"/>
          <w:sz w:val="28"/>
          <w:szCs w:val="28"/>
        </w:rPr>
        <w:t xml:space="preserve">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рост дохода в расчете на одного работника субъекта МСП в 1,54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ВРП в 1,7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производительно</w:t>
      </w:r>
      <w:r>
        <w:rPr>
          <w:rFonts w:ascii="Times New Roman" w:hAnsi="Times New Roman"/>
          <w:sz w:val="28"/>
          <w:szCs w:val="28"/>
        </w:rPr>
        <w:t xml:space="preserve">сти труда в 1,5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производства продукции сельского хозяйства на 26,2 %;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бюджетной обеспеченности на душу населения в 1,5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оборота потребительского рынка в 1,8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159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рост дохода в расчете на одного работника субъекта МСП в 1,54 раза.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Целевой сценарий</w:t>
      </w:r>
      <w:r>
        <w:rPr>
          <w:rFonts w:ascii="Times New Roman" w:hAnsi="Times New Roman" w:cs="Times New Roman"/>
          <w:sz w:val="28"/>
          <w:szCs w:val="28"/>
        </w:rPr>
        <w:t xml:space="preserve"> – инновационный вариант социально-экономического развития Забайкальского края, обеспечивающий достижение установленных приоритетов и целей развития Стратегии. Целевой </w:t>
      </w:r>
      <w:r>
        <w:rPr>
          <w:rFonts w:ascii="Times New Roman" w:hAnsi="Times New Roman" w:cs="Times New Roman"/>
          <w:sz w:val="28"/>
          <w:szCs w:val="28"/>
        </w:rPr>
        <w:t xml:space="preserve">сценарий предполагает изменение структуры экономики края и формирование новых конкурентоспособных на международном рынке производств, достижение </w:t>
      </w:r>
      <w:r>
        <w:rPr>
          <w:rFonts w:ascii="Times New Roman" w:hAnsi="Times New Roman"/>
          <w:sz w:val="28"/>
          <w:szCs w:val="28"/>
        </w:rPr>
        <w:t xml:space="preserve">по показателям доступности и качества социальных услуг среднероссийских значений.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Точками роста выступя</w:t>
      </w:r>
      <w:r>
        <w:rPr>
          <w:rFonts w:ascii="Times New Roman" w:hAnsi="Times New Roman"/>
          <w:sz w:val="28"/>
          <w:szCs w:val="28"/>
        </w:rPr>
        <w:t xml:space="preserve">т: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1) Север – создание горно-металлургического кластера на базе строительства ГМК «</w:t>
      </w:r>
      <w:r>
        <w:rPr>
          <w:rFonts w:ascii="Times New Roman" w:hAnsi="Times New Roman"/>
          <w:sz w:val="28"/>
          <w:szCs w:val="28"/>
        </w:rPr>
        <w:t xml:space="preserve">Удоканская</w:t>
      </w:r>
      <w:r>
        <w:rPr>
          <w:rFonts w:ascii="Times New Roman" w:hAnsi="Times New Roman"/>
          <w:sz w:val="28"/>
          <w:szCs w:val="28"/>
        </w:rPr>
        <w:t xml:space="preserve"> медь», предусматривающего выход на мировой рынок (страны АТР) с катодной медью и сульфидным концентратом с высоким содержанием меди и серебра.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2) Юго-Восток – фо</w:t>
      </w:r>
      <w:r>
        <w:rPr>
          <w:rFonts w:ascii="Times New Roman" w:hAnsi="Times New Roman"/>
          <w:sz w:val="28"/>
          <w:szCs w:val="28"/>
        </w:rPr>
        <w:t xml:space="preserve">рмирование </w:t>
      </w:r>
      <w:r>
        <w:rPr>
          <w:rFonts w:ascii="Times New Roman" w:hAnsi="Times New Roman" w:cs="Times New Roman"/>
          <w:sz w:val="28"/>
          <w:szCs w:val="28"/>
        </w:rPr>
        <w:t xml:space="preserve">энерго-металлургического кластера (г. Краснокаменск), ориентированного на высоко технологическое производство </w:t>
      </w:r>
      <w:r>
        <w:rPr>
          <w:rFonts w:ascii="Times New Roman" w:hAnsi="Times New Roman" w:cs="Times New Roman"/>
          <w:sz w:val="28"/>
          <w:szCs w:val="28"/>
        </w:rPr>
        <w:t xml:space="preserve">медно-проводниковой и кабельной продукции. Формирование «зеленой» экономики с безотходным производственным циклом позволит выпускать ко</w:t>
      </w:r>
      <w:r>
        <w:rPr>
          <w:rFonts w:ascii="Times New Roman" w:hAnsi="Times New Roman" w:cs="Times New Roman"/>
          <w:sz w:val="28"/>
          <w:szCs w:val="28"/>
        </w:rPr>
        <w:t xml:space="preserve">нкурентную продукцию с низким углеродным следом.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целевого сценария приведет к следующим результатам: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ускоренное развитие региона с расширением кооперационных связей с экономиками стран АТР;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экономической активности населения, рос</w:t>
      </w:r>
      <w:r>
        <w:rPr>
          <w:rFonts w:ascii="Times New Roman" w:hAnsi="Times New Roman"/>
          <w:sz w:val="28"/>
          <w:szCs w:val="28"/>
        </w:rPr>
        <w:t xml:space="preserve">т доходов населения и бюджетной системы края;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существенное увеличение доли в структуре ВРП обрабатывающей промышленности за счет развития металлургического производства;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широкое развитие межрегионального сотрудничества и кооперации;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стабилизация численности постоянного населения края;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ускоренное и опережающее развитие городов и поселений, их модернизация и создание комфортной социальной среды как основы для формирования, сохранения и реализации качественного человеческого капитала и п</w:t>
      </w:r>
      <w:r>
        <w:rPr>
          <w:rFonts w:ascii="Times New Roman" w:hAnsi="Times New Roman"/>
          <w:sz w:val="28"/>
          <w:szCs w:val="28"/>
        </w:rPr>
        <w:t xml:space="preserve">овышения конкурентоспособности региона в «конкуренции за таланты»;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транспортной инфраструктуры, повышение ее качества, устранение ограничений и повышение связанности территории, а также обеспечение устойчивого транспортного сообщения населенных пу</w:t>
      </w:r>
      <w:r>
        <w:rPr>
          <w:rFonts w:ascii="Times New Roman" w:hAnsi="Times New Roman"/>
          <w:sz w:val="28"/>
          <w:szCs w:val="28"/>
        </w:rPr>
        <w:t xml:space="preserve">нктов региона между собой и остальной частью Российской Федерации;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повышение доступности услуг отраслей социальной сферы, в том числе за счет развития современных способов их оказания, улучшения транспортной доступности и положительных изменений в территор</w:t>
      </w:r>
      <w:r>
        <w:rPr>
          <w:rFonts w:ascii="Times New Roman" w:hAnsi="Times New Roman"/>
          <w:sz w:val="28"/>
          <w:szCs w:val="28"/>
        </w:rPr>
        <w:t xml:space="preserve">иальной организации оказания услуг социальной сферы.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реализации данного сценария в 2035 году </w:t>
      </w:r>
      <w:r>
        <w:rPr>
          <w:rFonts w:ascii="Times New Roman" w:hAnsi="Times New Roman"/>
          <w:sz w:val="28"/>
          <w:szCs w:val="28"/>
        </w:rPr>
        <w:t xml:space="preserve">относительно значений 2024 года</w:t>
      </w:r>
      <w:r>
        <w:rPr>
          <w:rFonts w:ascii="Times New Roman" w:hAnsi="Times New Roman" w:cs="Times New Roman"/>
          <w:sz w:val="28"/>
          <w:szCs w:val="28"/>
        </w:rPr>
        <w:t xml:space="preserve"> ожидается: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стабилизация среднегодовой численности постоянного населения;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ожидаемой продолжительности жизни на 16,8 %;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</w:t>
      </w:r>
      <w:r>
        <w:rPr>
          <w:rFonts w:ascii="Times New Roman" w:hAnsi="Times New Roman"/>
          <w:sz w:val="28"/>
          <w:szCs w:val="28"/>
        </w:rPr>
        <w:t xml:space="preserve">т количества семей, улучшивших жилищные условия, в 1,4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реальной начисленной заработной платы в 2,5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реальных располагаемых денежных доходов населения в 2,4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инвестиций в основной капитал в 2,2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рост численности занятых в</w:t>
      </w:r>
      <w:r>
        <w:rPr>
          <w:rFonts w:ascii="Times New Roman" w:hAnsi="Times New Roman" w:eastAsia="Times New Roman"/>
          <w:sz w:val="28"/>
          <w:szCs w:val="28"/>
        </w:rPr>
        <w:t xml:space="preserve"> сфере МСП на 17,7% в 2024 году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ВРП в 2,5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производительности труда в 2,3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производства продукции сельского хозяйства на 30,2 %;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бюджетной обеспеченности на душу населения в 2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рост оборота потребительского рынка в 2,2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xml:space="preserve">рост дохода в расчете на одного работника субъекта МСП в 1,55 раза.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widowControl w:val="o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  <w:sectPr>
          <w:headerReference w:type="default" r:id="rId9"/>
          <w:footerReference w:type="default" r:id="rId10"/>
          <w:footerReference w:type="first" r:id="rId11"/>
          <w:footnotePr/>
          <w:endnotePr/>
          <w:type w:val="nextColumn"/>
          <w:pgSz w:w="11906" w:h="16838" w:orient="portrait"/>
          <w:pgMar w:top="1134" w:right="567" w:bottom="1134" w:left="1985" w:header="708" w:footer="708" w:gutter="0"/>
          <w:cols w:num="1" w:sep="0" w:space="708" w:equalWidth="1"/>
          <w:docGrid w:linePitch="360"/>
          <w:titlePg/>
        </w:sect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57"/>
        <w:jc w:val="center"/>
        <w:rPr>
          <w:sz w:val="28"/>
          <w:szCs w:val="28"/>
        </w:rPr>
      </w:pPr>
      <w:bookmarkStart w:id="63" w:name="_Toc99303931"/>
      <w:bookmarkStart w:id="64" w:name="_Toc99308115"/>
      <w:bookmarkStart w:id="65" w:name="_Toc99308752"/>
      <w:bookmarkStart w:id="66" w:name="_Toc107706298"/>
      <w:r>
        <w:rPr>
          <w:bCs/>
          <w:sz w:val="28"/>
          <w:szCs w:val="28"/>
        </w:rPr>
        <w:t xml:space="preserve">Таблица 19. </w:t>
      </w:r>
      <w:r>
        <w:rPr>
          <w:sz w:val="28"/>
          <w:szCs w:val="28"/>
        </w:rPr>
        <w:t xml:space="preserve">Прогноз социально-экономического развития Забайкальского края на период до 2035 года</w:t>
      </w:r>
      <w:bookmarkEnd w:id="63"/>
      <w:bookmarkEnd w:id="64"/>
      <w:bookmarkEnd w:id="65"/>
      <w:bookmarkEnd w:id="66"/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W w:w="1502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3910"/>
        <w:gridCol w:w="1276"/>
        <w:gridCol w:w="1139"/>
        <w:gridCol w:w="1087"/>
        <w:gridCol w:w="1087"/>
        <w:gridCol w:w="1081"/>
        <w:gridCol w:w="1093"/>
        <w:gridCol w:w="1174"/>
        <w:gridCol w:w="1000"/>
        <w:gridCol w:w="1087"/>
        <w:gridCol w:w="1087"/>
      </w:tblGrid>
      <w:tr>
        <w:trPr>
          <w:jc w:val="center"/>
          <w:trHeight w:val="142"/>
          <w:tblHeader/>
        </w:trPr>
        <w:tblPrEx/>
        <w:tc>
          <w:tcPr>
            <w:tcW w:w="3910" w:type="dxa"/>
            <w:vMerge w:val="restart"/>
            <w:noWrap/>
            <w:textDirection w:val="lrTb"/>
            <w:vAlign w:val="center"/>
          </w:tcPr>
          <w:p>
            <w:pPr>
              <w:spacing w:before="60" w:after="60" w:line="240" w:lineRule="auto"/>
              <w:ind w:left="-250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Показатели/ сценарии/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restart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Базовое значение, 2024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9835" w:type="dxa"/>
            <w:gridSpan w:val="9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Сценарии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jc w:val="center"/>
          <w:trHeight w:val="131"/>
          <w:tblHeader/>
        </w:trPr>
        <w:tblPrEx/>
        <w:tc>
          <w:tcPr>
            <w:tcW w:w="3910" w:type="dxa"/>
            <w:vMerge w:val="continue"/>
            <w:noWrap/>
            <w:textDirection w:val="lrTb"/>
            <w:vAlign w:val="center"/>
          </w:tcPr>
          <w:p>
            <w:pPr>
              <w:spacing w:before="60" w:after="6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noWrap w:val="false"/>
            <w:textDirection w:val="lrTb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3313" w:type="dxa"/>
            <w:gridSpan w:val="3"/>
            <w:noWrap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Консервативный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3348" w:type="dxa"/>
            <w:gridSpan w:val="3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Базовый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3174" w:type="dxa"/>
            <w:gridSpan w:val="3"/>
            <w:noWrap w:val="false"/>
            <w:textDirection w:val="lrTb"/>
            <w:vAlign w:val="bottom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Целевой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jc w:val="center"/>
          <w:trHeight w:val="47"/>
          <w:tblHeader/>
        </w:trPr>
        <w:tblPrEx/>
        <w:tc>
          <w:tcPr>
            <w:tcW w:w="3910" w:type="dxa"/>
            <w:vMerge w:val="continue"/>
            <w:noWrap/>
            <w:textDirection w:val="lrTb"/>
            <w:vAlign w:val="center"/>
          </w:tcPr>
          <w:p>
            <w:pPr>
              <w:spacing w:before="60" w:after="6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vMerge w:val="continue"/>
            <w:noWrap w:val="false"/>
            <w:textDirection w:val="lrTb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9" w:type="dxa"/>
            <w:noWrap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2025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87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2030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87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2035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81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2025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93" w:type="dxa"/>
            <w:noWrap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2030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174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2035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00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2025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87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2030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087" w:type="dxa"/>
            <w:noWrap w:val="false"/>
            <w:textDirection w:val="lrTb"/>
            <w:vAlign w:val="center"/>
          </w:tcPr>
          <w:p>
            <w:pPr>
              <w:spacing w:before="60" w:after="6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2035 год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 (в среднегодовом исчислении), тыс.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6"/>
                <w:szCs w:val="24"/>
              </w:rPr>
              <w:t xml:space="preserve">(в ред. постановления Правительства Забайкальского края от 6.02.2024 № 32)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972,4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911,5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973,0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945,3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934,6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973,0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945,3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934,6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Ожидаемая продолжительность жизни, лет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66,5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68,7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71,6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74,4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68,7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72,7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77,0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68,7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72,7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77,0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Общий коэффициент рождаемости, человек на 1000 населения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10,2*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Общий коэффициент смертности, человек на 1000 населения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13,5*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13,0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Количество семей, улучшивших жилищные условия, тыс. семей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26,4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33,6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28,8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35,2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33,2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36,8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Ввод в действие жилых домов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455,6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402,8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86" w:right="-1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423,9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404,1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401,1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448,7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357,2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401,0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456,5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физического объема ВРП,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125,9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129,5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142,1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129,1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153,9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172,8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146,2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199,8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249,6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производительности труда,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126,3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122,6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136,6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127,3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138,9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153,7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145,9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184,7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230,9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промышленного производства,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146,4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159,6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171,8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162,6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214,1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233,5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182,3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312,0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386,1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bottom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физического объема инвестиций,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142,1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104,9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112,5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126,8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131,6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138,0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162,3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181,3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222,0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Реальная начисленная заработная плата,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107,0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120,9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128,7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108,6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131,5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141,8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108,6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138,6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155,8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none" w:color="000000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Реальные располагаемые денежные доходы населения,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104,0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117,0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125,9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105,2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122,5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137,0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108,8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147,8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none" w:color="000000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178,0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производства продукции сельского хозяйства в хозяйствах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всех категорий,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99,9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107,0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110,6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101,8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116,5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126,2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101,8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118,8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130,2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Бюджетная обеспеченность на душу населения,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97,5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94,3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110,9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102,6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121,0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152,2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107,7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146,2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198,1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457"/>
        </w:trPr>
        <w:tblPrEx/>
        <w:tc>
          <w:tcPr>
            <w:tcW w:w="39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Оборот потребительского рынка,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106,5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118,2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136,0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110,3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145,2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178,8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116,5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172,1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221,1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Темп роста (индекс роста) дохода в расчете на одного работника субъекта МСП, % к базовому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-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1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106,9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127,1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152,8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107,9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128,1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153,8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108,9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129,1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154,8</w:t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  <w:r>
              <w:rPr>
                <w:rFonts w:ascii="Times New Roman" w:hAnsi="Times New Roman" w:eastAsia="Times New Roman" w:cs="Times New Roman"/>
                <w:sz w:val="24"/>
              </w:rPr>
            </w:r>
          </w:p>
        </w:tc>
      </w:tr>
      <w:tr>
        <w:trPr>
          <w:jc w:val="center"/>
          <w:trHeight w:val="610"/>
        </w:trPr>
        <w:tblPrEx/>
        <w:tc>
          <w:tcPr>
            <w:tcW w:w="391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Объем экспорта,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160,8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203,7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270,6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168,2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246,9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368,7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186,7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314,5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142" w:right="-23"/>
              <w:jc w:val="center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678,4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Среднегодовая численность занятых в экономике, тыс.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 w:cs="Times New Roman"/>
                <w:sz w:val="15"/>
                <w:szCs w:val="15"/>
              </w:rPr>
              <w:t xml:space="preserve">(строка дополнена в ред. постановления Правительства Забайкальского края от 6.02.2024 № 32)</w:t>
            </w:r>
            <w:r>
              <w:rPr>
                <w:rFonts w:ascii="Times New Roman" w:hAnsi="Times New Roman" w:cs="Times New Roman"/>
                <w:sz w:val="15"/>
                <w:szCs w:val="15"/>
              </w:rPr>
            </w:r>
            <w:r>
              <w:rPr>
                <w:rFonts w:ascii="Times New Roman" w:hAnsi="Times New Roman" w:cs="Times New Roman"/>
                <w:sz w:val="15"/>
                <w:szCs w:val="15"/>
              </w:rPr>
            </w:r>
          </w:p>
        </w:tc>
        <w:tc>
          <w:tcPr>
            <w:tcW w:w="1276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466,2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474,6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479,9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467,1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469,1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491,9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tcBorders>
              <w:top w:val="single" w:color="auto" w:sz="4" w:space="0"/>
              <w:left w:val="non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500,1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Потребность в кадровом</w:t>
            </w:r>
          </w:p>
          <w:p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обеспечении экономики, в том числе по видам экономической деятельности и группам занятий, тыс. чел</w:t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69,5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63,1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74,4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jc w:val="center"/>
          <w:trHeight w:val="315"/>
        </w:trPr>
        <w:tblPrEx/>
        <w:tc>
          <w:tcPr>
            <w:tcW w:w="391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организаций, принимающих участие в реализации мероприятий</w:t>
            </w:r>
          </w:p>
          <w:p>
            <w:pPr>
              <w:spacing w:after="0" w:line="240" w:lineRule="auto"/>
              <w:jc w:val="center"/>
              <w:rPr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подготовке кадровых ресурсов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ед.</w:t>
            </w:r>
            <w:r>
              <w:rPr>
                <w:vertAlign w:val="superscript"/>
              </w:rPr>
            </w:r>
            <w:r>
              <w:rPr>
                <w:vertAlign w:val="superscript"/>
              </w:rPr>
            </w:r>
          </w:p>
        </w:tc>
        <w:tc>
          <w:tcPr>
            <w:tcW w:w="1276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9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1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93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74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00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087" w:type="dxa"/>
            <w:vMerge w:val="restart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vertAlign w:val="superscript"/>
        </w:rPr>
        <w:t xml:space="preserve">1 </w:t>
      </w:r>
      <w:r>
        <w:rPr>
          <w:rFonts w:ascii="Times New Roman" w:hAnsi="Times New Roman"/>
          <w:sz w:val="24"/>
          <w:szCs w:val="24"/>
        </w:rPr>
        <w:t xml:space="preserve">в том числе создание филиалов организаций.</w:t>
      </w:r>
      <w:r>
        <w:rPr>
          <w:rFonts w:ascii="Times New Roman" w:hAnsi="Times New Roman"/>
          <w:sz w:val="28"/>
          <w:szCs w:val="28"/>
        </w:rPr>
        <w:br w:type="page" w:clear="all"/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57"/>
        <w:ind w:hanging="142"/>
        <w:jc w:val="center"/>
      </w:pPr>
      <w:r>
        <w:rPr>
          <w:sz w:val="28"/>
          <w:szCs w:val="28"/>
          <w:lang w:eastAsia="ru-RU"/>
        </w:rPr>
        <w:drawing>
          <wp:inline distT="0" distB="0" distL="0" distR="0">
            <wp:extent cx="9579610" cy="4678680"/>
            <wp:effectExtent l="0" t="0" r="2540" b="762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>
      <w:pPr>
        <w:pStyle w:val="105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Рисунок 5. Сравнение прогнозных значений сценариев социально-экономического развития Забайкальского края в 2035 году, % к уровню 2024 года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31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  <w:sectPr>
          <w:footerReference w:type="first" r:id="rId12"/>
          <w:footnotePr/>
          <w:endnotePr/>
          <w:type w:val="nextPage"/>
          <w:pgSz w:w="16838" w:h="11906" w:orient="landscape"/>
          <w:pgMar w:top="1134" w:right="567" w:bottom="567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7" w:name="_Toc204259663"/>
      <w:r>
        <w:rPr>
          <w:rFonts w:ascii="Times New Roman" w:hAnsi="Times New Roman" w:cs="Times New Roman"/>
          <w:b/>
          <w:bCs/>
          <w:sz w:val="28"/>
          <w:szCs w:val="28"/>
        </w:rPr>
        <w:t xml:space="preserve">4. РАЗВИТИЕ ЧЕЛОВЕЧЕСКОГО КАПИТАЛА</w:t>
      </w:r>
      <w:bookmarkEnd w:id="67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Глобальный тренд развития состоит в повышении роли челове</w:t>
      </w:r>
      <w:r>
        <w:rPr>
          <w:rFonts w:ascii="Times New Roman" w:hAnsi="Times New Roman" w:cs="Times New Roman"/>
          <w:sz w:val="28"/>
          <w:szCs w:val="28"/>
        </w:rPr>
        <w:t xml:space="preserve">ческого капитала при обеспечении конкурентоспособности региональной и национальной экономики.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компонентами развития социальной сферы как базы воспроизводства человеческого капитала, являются комфортность условий проживания, безопасность жизнедеят</w:t>
      </w:r>
      <w:r>
        <w:rPr>
          <w:rFonts w:ascii="Times New Roman" w:hAnsi="Times New Roman" w:cs="Times New Roman"/>
          <w:sz w:val="28"/>
          <w:szCs w:val="28"/>
        </w:rPr>
        <w:t xml:space="preserve">ельности, возможность удовлетворять индивидуальные социальные потребности, в том числе в самореализации.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Забайкальском крае наблюдается отставание по вышеперечисленным параметрам качества жизни от среднероссийского уровня.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приоритета «Развитие </w:t>
      </w:r>
      <w:r>
        <w:rPr>
          <w:rFonts w:ascii="Times New Roman" w:hAnsi="Times New Roman" w:cs="Times New Roman"/>
          <w:sz w:val="28"/>
          <w:szCs w:val="28"/>
        </w:rPr>
        <w:t xml:space="preserve">человеческого капитала» ставится стратегическая цель по обеспечению среднероссийских стандартов качества жизни населения на основе современного здравоохранения, образования и широких возможностей самореализации индивидов с учетом принципа </w:t>
      </w:r>
      <w:r>
        <w:rPr>
          <w:rFonts w:ascii="Times New Roman" w:hAnsi="Times New Roman" w:cs="Times New Roman"/>
          <w:sz w:val="28"/>
          <w:szCs w:val="28"/>
        </w:rPr>
        <w:t xml:space="preserve">человекосбережени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как основы опережающего развития региона.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целевые показатели по данному приоритету развития в 2035 году: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numPr>
          <w:numId w:val="27"/>
          <w:ilvl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численность населения (в среднегодовом исчислении) </w:t>
      </w:r>
      <w:r>
        <w:rPr>
          <w:rFonts w:ascii="Times New Roman" w:hAnsi="Times New Roman"/>
          <w:iCs/>
          <w:sz w:val="28"/>
          <w:szCs w:val="28"/>
        </w:rPr>
        <w:t xml:space="preserve">–</w:t>
      </w:r>
      <w:r>
        <w:rPr>
          <w:rFonts w:ascii="Times New Roman" w:hAnsi="Times New Roman"/>
          <w:sz w:val="28"/>
          <w:szCs w:val="28"/>
        </w:rPr>
        <w:t xml:space="preserve"> 934,6 тыс. человек;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27"/>
          <w:ilvl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ожидаемая продолжительность жизни – 77 лет;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27"/>
          <w:ilvl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уровень бедности – 6,4 </w:t>
      </w:r>
      <w:r>
        <w:rPr>
          <w:rFonts w:ascii="Times New Roman" w:hAnsi="Times New Roman"/>
          <w:sz w:val="28"/>
          <w:szCs w:val="28"/>
        </w:rPr>
        <w:t xml:space="preserve">%.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27"/>
          <w:ilvl w:val="0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Суммарный коэффициент рождаемости 1,7 к 2030 году.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contextualSpacing w:val="0"/>
        <w:jc w:val="both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</w:p>
    <w:p>
      <w:pPr>
        <w:pStyle w:val="1038"/>
        <w:spacing w:after="40" w:line="240" w:lineRule="auto"/>
        <w:ind w:left="0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68" w:name="_Toc204259664"/>
      <w:r>
        <w:rPr>
          <w:rFonts w:ascii="Times New Roman" w:hAnsi="Times New Roman"/>
          <w:b/>
          <w:sz w:val="28"/>
          <w:szCs w:val="28"/>
        </w:rPr>
        <w:t xml:space="preserve">4.1. Демографическое развитие. Социальная политика. </w:t>
      </w:r>
      <w:r>
        <w:rPr>
          <w:rFonts w:ascii="Times New Roman" w:hAnsi="Times New Roman"/>
          <w:b/>
          <w:sz w:val="28"/>
          <w:szCs w:val="28"/>
        </w:rPr>
        <w:br/>
        <w:t xml:space="preserve">Рост благосостояния. Эффективная занятость</w:t>
      </w:r>
      <w:bookmarkEnd w:id="68"/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На 1 января 2025 года в Забайкальском крае проживало 982,5 тыс. человек – около 0,7% населения Российской Федерации. За 2012 – 2024 годы убыль населения составила 73,9 тыс. человек (за 2024 год - 6,1 тыс. человек). Численность населения снижается за счет е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стественной (за 2024 год – 4,1 тыс. человек) и миграционной (за 2024 год – 2,0 тыс. человек) убыли.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Суммарный коэффициент рождаемости в Забайкальском крае в 2012 – 2024 годах изменился с 1,8 до 1,6. Текущее значение показателя в крае превосходит общероссий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ский уровень и соответствует среднему уровню по Дальневосточному федеральному округу.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Одним из основных индикаторов, характеризующих уровень жизни населения, являются денежные доходы населения, в 2024 году они составили 50,4 тыс. рублей в месяц и выросли п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 сравнению с 2012 годом в 2,9 раза. В анализируемом периоде денежные доходы населения Забайкальского края стабильно ниже среднероссийского уровня (в 2024 году на 20,1 %).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Среднегодовая численность занятых в экономике края за период 2017-2024 годов снизила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сь на 28,2 тыс. человек. Численность безработных в соответствии с методологией МОТ в анализируемом периоде снизилась на 33,3 тыс. человек и по итогам 2023 года составила 23,6 тыс. человек, или</w:t>
      </w:r>
      <w:r>
        <w:rPr>
          <w:rFonts w:ascii="Times New Roman" w:hAnsi="Times New Roman" w:eastAsia="Calibri" w:cs="Times New Roman"/>
          <w:iCs/>
          <w:sz w:val="28"/>
          <w:szCs w:val="28"/>
        </w:rPr>
        <w:br/>
        <w:t xml:space="preserve">5,0 %.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Уровень занятости (численность населения трудоспособного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возраста с учетом демографических и миграционных процессов) в 2017-2024 гг. существенно не изменился: по отношению к 2017 году увеличился на 0,8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п.п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. и составил в 2024 году 57,3 %.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Численность привлекаемых работодателями иностранных работников к 2024 году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снижается и составляет 2 305 человек.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Коэффициент демографической нагрузки в 2012-2021 годах увеличился с 641 до 750. Демографическая нагрузка на экономику Забайкальском крае сравнима с общероссийскими показателями. Наметившиеся тенденции объясняются сокр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ащением численности трудоспособного населения, а также интенсивной миграцией в другие регионы. В связи с этим коэффициент демографической нагрузки в крае растет.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  <w:t xml:space="preserve">Целью направления является создание условий для устойчивого роста численности и благосостояния</w:t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  <w:t xml:space="preserve"> населения Забайкальского края.</w:t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1) демографическое развитие. Укрепление института семьи и сохранение традиций семейных отношений. Оказание мер государственной поддержки семьям с детьми, предоставление дополнительных соц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иальных выплат семьям;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2) обеспечение эффективного функционирования системы социальных гарантий (социальной защиты) населения. Поддержка наиболее уязвимых групп населения;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3) рост благосостояния граждан, повышение эффективной занятости населения, развитие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рынка труда и кадрового потенциала;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Для прекращения депопуляции и обеспечения естественного прироста населения Забайкальского края предусмотрено оказание мер государственной поддержки семьям с детьми, предоставление дополнительных социальных выплат молодым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семьям и создание условий для совмещения родителями обязанностей по воспитанию детей и профессиональных обязанностей. Разработан комплекс мероприятий по сохранению здоровья населения, подробно описанный в разделе «Здравоохранение».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Развитие сферы социальн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ого обслуживания предусматривает мероприятия по реализации проектов государственно-частного партнерства с целью расширения числа источников средств на предоставление социальных услуг и развитию системы экстренной социальной и правовой помощи.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Ключевым напр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авлением деятельности является рост благосостояния граждан и развитие рынка труда. Для реализации направления разработаны мероприятия по обучению членов семьи основам семейного предпринимательства и ведения бизнеса, развитию системы самозанятости населения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и повышению трудовой мобильности граждан в пределах Забайкальского края.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1) естественный прирост населения – 500 человек;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2) миграционная убыль населения – 1000 человек;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3) реальные располагаемые денежные доходы населения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– 137 %</w:t>
      </w:r>
      <w:r>
        <w:rPr>
          <w:rFonts w:ascii="Times New Roman" w:hAnsi="Times New Roman" w:eastAsia="Calibri" w:cs="Times New Roman"/>
          <w:sz w:val="28"/>
          <w:szCs w:val="28"/>
        </w:rPr>
        <w:br/>
        <w:t xml:space="preserve">к 2024 году;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4) среднегодовая численность занятых в экономике до 2030 года - 449,9 тыс. человек, до 2035 года - 455,3 тыс. человек;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5) уровень безработицы 3,9%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связи с планируемым открытием новых предприятий и созданием новых рабочих мест в рамках реализации инвестиционных проектов прогнозируется увеличение потребности в кадровом обеспечении экономики.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</w:pPr>
    </w:p>
    <w:p>
      <w:pPr>
        <w:pStyle w:val="1038"/>
        <w:spacing w:after="4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69" w:name="_Toc204259665"/>
      <w:r>
        <w:rPr>
          <w:rFonts w:ascii="Times New Roman" w:hAnsi="Times New Roman"/>
          <w:b/>
          <w:sz w:val="28"/>
          <w:szCs w:val="28"/>
        </w:rPr>
        <w:t xml:space="preserve">4.2. Здравоохранение</w:t>
      </w:r>
      <w:bookmarkEnd w:id="69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pStyle w:val="1038"/>
        <w:spacing w:after="0" w:line="240" w:lineRule="auto"/>
      </w:pP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Отрицательная динамика показателя ожидаемой продолжительности жизни в Забайкальском крае и ее более низкие в сравнении с ДФО и Российской Федерацией значения являются основными вызовами для краевой системы здравоохранения.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Приоритетными проблемами, сдержив</w:t>
      </w:r>
      <w:r>
        <w:rPr>
          <w:rFonts w:ascii="Times New Roman" w:hAnsi="Times New Roman" w:eastAsia="Calibri" w:cs="Times New Roman"/>
          <w:sz w:val="28"/>
          <w:szCs w:val="28"/>
        </w:rPr>
        <w:t xml:space="preserve">ающими развитие медицинской помощи в Забайкальском крае, являются: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недостаточная обеспеченность квалифицированными специалистами ключевых направлений (кардиология, пульмонология, неврология, гастроэнтерология, терапия, хирургия, неонатология, педиатрия, ги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некология) и средним медицинским персоналом, особенно в сельской местности;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недостаточный охват населения Забайкальского края диспансерным наблюдением;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высокая доля зданий объектов здравоохранения, требующих капитального ремонта (22,9% от общего количества</w:t>
      </w:r>
      <w:r>
        <w:rPr>
          <w:rFonts w:ascii="Times New Roman" w:hAnsi="Times New Roman" w:eastAsia="Calibri" w:cs="Times New Roman"/>
          <w:sz w:val="28"/>
          <w:szCs w:val="28"/>
        </w:rPr>
        <w:t xml:space="preserve">) и находящихся в аварийном состоянии (7,6 %).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К другим проблемам, влияющим на продолжительность жизни и уровень здоровья населения, относятся: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повышенное содержание загрязняющих веществ в атмосфере (рост смертности на 4,26% от болезней органов дыхания);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н</w:t>
      </w:r>
      <w:r>
        <w:rPr>
          <w:rFonts w:ascii="Times New Roman" w:hAnsi="Times New Roman" w:eastAsia="Calibri" w:cs="Times New Roman"/>
          <w:sz w:val="28"/>
          <w:szCs w:val="28"/>
        </w:rPr>
        <w:t xml:space="preserve">изкое качество питьевой воды из систем центрального водоснабжения (рост смертности на 4,45% от болезней органов пищеварения);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низкая доля населения от 30 лет, занимающаяся физической культурой (менее 13%), что способствует росту заболеваемости и смертности</w:t>
      </w:r>
      <w:r>
        <w:rPr>
          <w:rFonts w:ascii="Times New Roman" w:hAnsi="Times New Roman" w:eastAsia="Calibri" w:cs="Times New Roman"/>
          <w:sz w:val="28"/>
          <w:szCs w:val="28"/>
        </w:rPr>
        <w:t xml:space="preserve">, в частности от заболеваний системы кровообращения.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Целью направления является создание условий для продолжительной, активной жизни населения и увеличения ожидаемой продолжительности жизни жителей Забайкальского края.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Основные задачи для достижения цели: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1) снижение дефицита медицинского персонала учреждений здравоохранения края, в том числе за счет повышения эффективности целевой подготовки специалистов и развития мер социальной поддержки медицинских и фармацевтических работников, студентов, обучающихся в</w:t>
      </w:r>
      <w:r>
        <w:rPr>
          <w:rFonts w:ascii="Times New Roman" w:hAnsi="Times New Roman" w:eastAsia="Calibri" w:cs="Times New Roman"/>
          <w:sz w:val="28"/>
          <w:szCs w:val="28"/>
        </w:rPr>
        <w:t xml:space="preserve"> рамках целевого набора;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2) обеспечение повсеместной доступности для жителей качественной медицинской помощи за счет развития первичной медико-санитарной помощи, специализированной медицинской помощи, скорой медицинской помощи;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3) повышение доступности мед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ицинской помощи детям, а также женщинам в период беременности и родов, в том числе проживающим в сельской местности, поселках городского типа, малых городах;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4) создание современной материально-технической базы учреждений здравоохранения за счет строительс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тва, модернизации и капитального ремонта зданий медицинских учреждений в Забайкальском крае;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5) внедрение и расширение спектра инновационных методов диагностики, профилактики и лечения за счет развития системы подготовки и переподготовки медицинских кадров</w:t>
      </w:r>
      <w:r>
        <w:rPr>
          <w:rFonts w:ascii="Times New Roman" w:hAnsi="Times New Roman" w:eastAsia="Calibri" w:cs="Times New Roman"/>
          <w:sz w:val="28"/>
          <w:szCs w:val="28"/>
        </w:rPr>
        <w:t xml:space="preserve">, а также применения современных информационных систем;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6) развитие системы профилактики заболеваний населения, в том числе в детском возрасте;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7) совершенствование организации оказания медицинской реабилитации;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8) обеспечение высокого уровня культуры отве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тственности населения за сохранение, поддержание и восстановление собственного здоровья (прохождение профилактических осмотров, популяризация здорового образа жизни).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Ожидаемые результаты в 2035 году: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1) смертность населения трудоспособного возраста – не б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олее 295 человек на 100 тыс. населения соответствующего возраста, снижение младенческой смертности до 4,5 (на 1 000 родившихся живыми);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2) удовлетворенность населения медицинской помощью – не менее 56%;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3) доля граждан, ежегодно проходящих профилактический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медицинский осмотр и (или) диспансеризацию, от общего числа населения - не менее 70%;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4) занятость в системе здравоохранения – 22 тыс. человек.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70" w:name="_Toc204259666"/>
      <w:r>
        <w:rPr>
          <w:rFonts w:ascii="Times New Roman" w:hAnsi="Times New Roman"/>
          <w:b/>
          <w:sz w:val="28"/>
          <w:szCs w:val="28"/>
        </w:rPr>
        <w:t xml:space="preserve">4.3. Образование и молодежная политика</w:t>
      </w:r>
      <w:bookmarkEnd w:id="70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before="240" w:after="0" w:line="240" w:lineRule="auto"/>
        <w:ind w:firstLine="709"/>
        <w:jc w:val="both"/>
        <w:rPr>
          <w:rFonts w:ascii="Times New Roman" w:hAnsi="Times New Roman" w:eastAsia="Calibri" w:cs="Times New Roman"/>
          <w:i/>
          <w:iCs/>
          <w:sz w:val="28"/>
          <w:szCs w:val="28"/>
        </w:rPr>
      </w:pPr>
      <w:r>
        <w:rPr>
          <w:rFonts w:ascii="Times New Roman" w:hAnsi="Times New Roman" w:eastAsia="Calibri" w:cs="Times New Roman"/>
          <w:i/>
          <w:iCs/>
          <w:sz w:val="28"/>
          <w:szCs w:val="28"/>
        </w:rPr>
        <w:t xml:space="preserve">Образование</w:t>
      </w:r>
      <w:r>
        <w:rPr>
          <w:rFonts w:ascii="Times New Roman" w:hAnsi="Times New Roman" w:eastAsia="Calibri" w:cs="Times New Roman"/>
          <w:i/>
          <w:iCs/>
          <w:sz w:val="28"/>
          <w:szCs w:val="28"/>
        </w:rPr>
      </w:r>
      <w:r>
        <w:rPr>
          <w:rFonts w:ascii="Times New Roman" w:hAnsi="Times New Roman" w:eastAsia="Calibri" w:cs="Times New Roman"/>
          <w:i/>
          <w:iCs/>
          <w:sz w:val="28"/>
          <w:szCs w:val="28"/>
        </w:rPr>
      </w:r>
    </w:p>
    <w:p>
      <w:pPr>
        <w:pStyle w:val="1150"/>
        <w:spacing w:line="283" w:lineRule="atLeast"/>
        <w:ind w:firstLine="708"/>
        <w:jc w:val="both"/>
      </w:pPr>
      <w:r>
        <w:t xml:space="preserve">Реа</w:t>
      </w:r>
      <w:r>
        <w:t xml:space="preserve">лизация в 2019-2024 годах мероприятий национальных проектов и государственных программ Российской Федерации позволила обеспечить преображение системы образования Забайкальского края. При этом актуальными для системы образования остаются следующие проблемы:</w:t>
      </w:r>
    </w:p>
    <w:p>
      <w:pPr>
        <w:pStyle w:val="1038"/>
        <w:numPr>
          <w:numId w:val="17"/>
          <w:ilvl w:val="0"/>
        </w:numPr>
        <w:tabs>
          <w:tab w:val="left" w:pos="1055" w:leader="none"/>
        </w:tabs>
        <w:spacing w:after="0" w:line="283" w:lineRule="atLeast"/>
        <w:ind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Значение показателя «Уровень образования» в Забайкальском крае увеличилось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по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сравнению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с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2021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годом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на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3,6%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и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составило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в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2023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году</w:t>
      </w:r>
      <w:r>
        <w:rPr>
          <w:rFonts w:ascii="Times New Roman" w:hAnsi="Times New Roman" w:eastAsia="Times New Roman"/>
          <w:spacing w:val="-9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63%. При этом, оно остается значительно ниже, чем по Российской Федерации (77,8%)</w:t>
      </w:r>
      <w:r>
        <w:rPr>
          <w:rFonts w:ascii="Times New Roman" w:hAnsi="Times New Roman" w:eastAsia="Times New Roman"/>
          <w:spacing w:val="80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и</w:t>
      </w:r>
      <w:r>
        <w:rPr>
          <w:rFonts w:ascii="Times New Roman" w:hAnsi="Times New Roman" w:eastAsia="Times New Roman"/>
          <w:spacing w:val="80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субъектам</w:t>
      </w:r>
      <w:r>
        <w:rPr>
          <w:rFonts w:ascii="Times New Roman" w:hAnsi="Times New Roman" w:eastAsia="Times New Roman"/>
          <w:spacing w:val="80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Дальневосточного</w:t>
      </w:r>
      <w:r>
        <w:rPr>
          <w:rFonts w:ascii="Times New Roman" w:hAnsi="Times New Roman" w:eastAsia="Times New Roman"/>
          <w:spacing w:val="80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федерального</w:t>
      </w:r>
      <w:r>
        <w:rPr>
          <w:rFonts w:ascii="Times New Roman" w:hAnsi="Times New Roman" w:eastAsia="Times New Roman"/>
          <w:spacing w:val="80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округа</w:t>
      </w:r>
      <w:r>
        <w:rPr>
          <w:rFonts w:ascii="Times New Roman" w:hAnsi="Times New Roman" w:eastAsia="Times New Roman"/>
          <w:spacing w:val="80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(Республика </w:t>
      </w:r>
      <w:r>
        <w:rPr>
          <w:rFonts w:ascii="Times New Roman" w:hAnsi="Times New Roman" w:eastAsia="Times New Roman"/>
        </w:rPr>
        <w:t xml:space="preserve">Бурятия – 66,5%, Республика Саха (Якутия) – 71,9%, Амурская область – </w:t>
      </w:r>
      <w:r>
        <w:rPr>
          <w:rFonts w:ascii="Times New Roman" w:hAnsi="Times New Roman" w:eastAsia="Times New Roman"/>
          <w:spacing w:val="-2"/>
        </w:rPr>
        <w:t xml:space="preserve">65,4%).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7"/>
          <w:ilvl w:val="0"/>
        </w:numPr>
        <w:tabs>
          <w:tab w:val="left" w:pos="1013" w:leader="none"/>
        </w:tabs>
        <w:spacing w:after="0" w:line="283" w:lineRule="atLeast"/>
        <w:ind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Износ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инфраструктуры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зданий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образов</w:t>
      </w:r>
      <w:r>
        <w:rPr>
          <w:rFonts w:ascii="Times New Roman" w:hAnsi="Times New Roman" w:eastAsia="Times New Roman"/>
          <w:sz w:val="28"/>
        </w:rPr>
        <w:t xml:space="preserve">ательных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организаций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–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более 60% зданий образовательных организаций требует проведения капитального ремонта или строительства новых взамен ветхих. Необходимо создание комфортной и безопасной среды для всестороннего развития ребенка, в том числе за счет соз</w:t>
      </w:r>
      <w:r>
        <w:rPr>
          <w:rFonts w:ascii="Times New Roman" w:hAnsi="Times New Roman" w:eastAsia="Times New Roman"/>
          <w:sz w:val="28"/>
        </w:rPr>
        <w:t xml:space="preserve">дания и обновления инфраструктуры образования.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7"/>
          <w:ilvl w:val="0"/>
        </w:numPr>
        <w:tabs>
          <w:tab w:val="left" w:pos="1073" w:leader="none"/>
        </w:tabs>
        <w:spacing w:after="0" w:line="283" w:lineRule="atLeast"/>
        <w:ind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Кадровый дефицит учителей, их недостаточная профессиональная подготовка.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Несмотря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на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сокращение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количества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вакансий,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число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их</w:t>
      </w:r>
      <w:r>
        <w:rPr>
          <w:rFonts w:ascii="Times New Roman" w:hAnsi="Times New Roman" w:eastAsia="Times New Roman"/>
          <w:spacing w:val="-1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остается высоким – 390 вакантных должностей учителей в 2024/2025 учебном году. В связи с чем, реализацию образовательных программ осуществляют педагоги, не</w:t>
      </w:r>
      <w:r>
        <w:rPr>
          <w:rFonts w:ascii="Times New Roman" w:hAnsi="Times New Roman" w:eastAsia="Times New Roman"/>
          <w:spacing w:val="-1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имеющие</w:t>
      </w:r>
      <w:r>
        <w:rPr>
          <w:rFonts w:ascii="Times New Roman" w:hAnsi="Times New Roman" w:eastAsia="Times New Roman"/>
          <w:spacing w:val="-1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базового</w:t>
      </w:r>
      <w:r>
        <w:rPr>
          <w:rFonts w:ascii="Times New Roman" w:hAnsi="Times New Roman" w:eastAsia="Times New Roman"/>
          <w:spacing w:val="-12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образования</w:t>
      </w:r>
      <w:r>
        <w:rPr>
          <w:rFonts w:ascii="Times New Roman" w:hAnsi="Times New Roman" w:eastAsia="Times New Roman"/>
          <w:spacing w:val="-1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по</w:t>
      </w:r>
      <w:r>
        <w:rPr>
          <w:rFonts w:ascii="Times New Roman" w:hAnsi="Times New Roman" w:eastAsia="Times New Roman"/>
          <w:spacing w:val="-1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преподаваемому</w:t>
      </w:r>
      <w:r>
        <w:rPr>
          <w:rFonts w:ascii="Times New Roman" w:hAnsi="Times New Roman" w:eastAsia="Times New Roman"/>
          <w:spacing w:val="-12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предмету.</w:t>
      </w:r>
      <w:r>
        <w:rPr>
          <w:rFonts w:ascii="Times New Roman" w:hAnsi="Times New Roman" w:eastAsia="Times New Roman"/>
          <w:spacing w:val="-1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Необходимо создание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условий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для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привлечения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в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профессию,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профессионального</w:t>
      </w:r>
      <w:r>
        <w:rPr>
          <w:rFonts w:ascii="Times New Roman" w:hAnsi="Times New Roman" w:eastAsia="Times New Roman"/>
          <w:spacing w:val="-17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развития педагогических работников всех уровней.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7"/>
          <w:ilvl w:val="0"/>
        </w:numPr>
        <w:tabs>
          <w:tab w:val="left" w:pos="1314" w:leader="none"/>
        </w:tabs>
        <w:spacing w:after="0" w:line="283" w:lineRule="atLeast"/>
        <w:ind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Отток молодежи, обусловленный отсутствием желаемых образовательных программ в учреждениях СПО и вузах. Необходима реализация мероприятий, направленных на профориентацию детей </w:t>
      </w:r>
      <w:r>
        <w:rPr>
          <w:rFonts w:ascii="Times New Roman" w:hAnsi="Times New Roman" w:eastAsia="Times New Roman"/>
          <w:sz w:val="28"/>
        </w:rPr>
        <w:t xml:space="preserve">и молодежи, которая позволит создать условия для кадрового обеспечения экономического роста Забайкальского края.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7"/>
          <w:ilvl w:val="0"/>
        </w:numPr>
        <w:tabs>
          <w:tab w:val="left" w:pos="1047" w:leader="none"/>
        </w:tabs>
        <w:spacing w:after="0" w:line="283" w:lineRule="atLeast"/>
        <w:ind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Отсутствие интеграции высшего образования и науки. Необходимо создание единого «бесшовного» пространства для образования, науки и технологий в </w:t>
      </w:r>
      <w:r>
        <w:rPr>
          <w:rFonts w:ascii="Times New Roman" w:hAnsi="Times New Roman" w:eastAsia="Times New Roman"/>
          <w:sz w:val="28"/>
        </w:rPr>
        <w:t xml:space="preserve">целях решения задач приоритетных отраслей экономики и развития человеческого капитала.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150"/>
        <w:spacing w:line="283" w:lineRule="atLeast"/>
        <w:ind w:firstLine="709"/>
        <w:jc w:val="both"/>
      </w:pPr>
      <w:r>
        <w:t xml:space="preserve">Целью</w:t>
      </w:r>
      <w:r>
        <w:rPr>
          <w:spacing w:val="-14"/>
        </w:rPr>
        <w:t xml:space="preserve"> </w:t>
      </w:r>
      <w:r>
        <w:t xml:space="preserve">направления</w:t>
      </w:r>
      <w:r>
        <w:rPr>
          <w:spacing w:val="-13"/>
        </w:rPr>
        <w:t xml:space="preserve"> </w:t>
      </w:r>
      <w:r>
        <w:t xml:space="preserve">являются</w:t>
      </w:r>
      <w:r>
        <w:rPr>
          <w:spacing w:val="-14"/>
        </w:rPr>
        <w:t xml:space="preserve"> </w:t>
      </w:r>
      <w:r>
        <w:t xml:space="preserve">реализация</w:t>
      </w:r>
      <w:r>
        <w:rPr>
          <w:spacing w:val="-13"/>
        </w:rPr>
        <w:t xml:space="preserve"> </w:t>
      </w:r>
      <w:r>
        <w:t xml:space="preserve">потенциала</w:t>
      </w:r>
      <w:r>
        <w:rPr>
          <w:spacing w:val="-13"/>
        </w:rPr>
        <w:t xml:space="preserve"> </w:t>
      </w:r>
      <w:r>
        <w:t xml:space="preserve">каждого</w:t>
      </w:r>
      <w:r>
        <w:rPr>
          <w:spacing w:val="-13"/>
        </w:rPr>
        <w:t xml:space="preserve"> </w:t>
      </w:r>
      <w:r>
        <w:t xml:space="preserve">человека, развитие его талантов, воспитание патриотичной и социально ответственной </w:t>
      </w:r>
      <w:r>
        <w:rPr>
          <w:spacing w:val="-2"/>
        </w:rPr>
        <w:t xml:space="preserve">личности.</w:t>
      </w:r>
    </w:p>
    <w:p>
      <w:pPr>
        <w:pStyle w:val="1150"/>
        <w:spacing w:line="283" w:lineRule="atLeast"/>
        <w:ind w:left="710"/>
        <w:jc w:val="both"/>
      </w:pPr>
      <w:r>
        <w:t xml:space="preserve">Основные</w:t>
      </w:r>
      <w:r>
        <w:rPr>
          <w:spacing w:val="-4"/>
        </w:rPr>
        <w:t xml:space="preserve"> </w:t>
      </w:r>
      <w:r>
        <w:t xml:space="preserve">задачи</w:t>
      </w:r>
      <w:r>
        <w:rPr>
          <w:spacing w:val="-2"/>
        </w:rPr>
        <w:t xml:space="preserve"> </w:t>
      </w:r>
      <w:r>
        <w:t xml:space="preserve">для</w:t>
      </w:r>
      <w:r>
        <w:rPr>
          <w:spacing w:val="-2"/>
        </w:rPr>
        <w:t xml:space="preserve"> </w:t>
      </w:r>
      <w:r>
        <w:t xml:space="preserve">достижения</w:t>
      </w:r>
      <w:r>
        <w:rPr>
          <w:spacing w:val="-1"/>
        </w:rPr>
        <w:t xml:space="preserve"> </w:t>
      </w:r>
      <w:r>
        <w:rPr>
          <w:spacing w:val="-4"/>
        </w:rPr>
        <w:t xml:space="preserve">цели:</w:t>
      </w:r>
    </w:p>
    <w:p>
      <w:pPr>
        <w:pStyle w:val="1150"/>
        <w:spacing w:line="283" w:lineRule="atLeast"/>
        <w:ind w:firstLine="709"/>
        <w:jc w:val="both"/>
      </w:pPr>
      <w:r>
        <w:t xml:space="preserve">обеспечение всех школьников равным доступом к качественному общему образованию;</w:t>
      </w:r>
    </w:p>
    <w:p>
      <w:pPr>
        <w:pStyle w:val="1150"/>
        <w:spacing w:line="283" w:lineRule="atLeast"/>
        <w:ind w:firstLine="709"/>
        <w:jc w:val="both"/>
      </w:pPr>
      <w:r>
        <w:t xml:space="preserve">выравнивание стартовых возможностей детей дошкольного возраста за счет</w:t>
      </w:r>
      <w:r>
        <w:rPr>
          <w:spacing w:val="-1"/>
        </w:rPr>
        <w:t xml:space="preserve"> </w:t>
      </w:r>
      <w:r>
        <w:t xml:space="preserve">сохранения</w:t>
      </w:r>
      <w:r>
        <w:rPr>
          <w:spacing w:val="-1"/>
        </w:rPr>
        <w:t xml:space="preserve"> </w:t>
      </w:r>
      <w:r>
        <w:t xml:space="preserve">100%</w:t>
      </w:r>
      <w:r>
        <w:rPr>
          <w:spacing w:val="-1"/>
        </w:rPr>
        <w:t xml:space="preserve"> </w:t>
      </w:r>
      <w:r>
        <w:t xml:space="preserve">доступности</w:t>
      </w:r>
      <w:r>
        <w:rPr>
          <w:spacing w:val="-1"/>
        </w:rPr>
        <w:t xml:space="preserve"> </w:t>
      </w:r>
      <w:r>
        <w:t xml:space="preserve">качественного</w:t>
      </w:r>
      <w:r>
        <w:rPr>
          <w:spacing w:val="-1"/>
        </w:rPr>
        <w:t xml:space="preserve"> </w:t>
      </w:r>
      <w:r>
        <w:t xml:space="preserve">дошкольного</w:t>
      </w:r>
      <w:r>
        <w:rPr>
          <w:spacing w:val="-1"/>
        </w:rPr>
        <w:t xml:space="preserve"> </w:t>
      </w:r>
      <w:r>
        <w:t xml:space="preserve">образования, в том числе присмотра и ухода за детьми;</w:t>
      </w:r>
    </w:p>
    <w:p>
      <w:pPr>
        <w:pStyle w:val="1150"/>
        <w:spacing w:line="283" w:lineRule="atLeast"/>
        <w:ind w:firstLine="709"/>
        <w:jc w:val="both"/>
      </w:pPr>
      <w:r>
        <w:t xml:space="preserve">увеличение доли выпускников образовательных организаций, реализующих программы среднего профессионального образования, занятых по виду деятельности и полученным компетенциям;</w:t>
      </w:r>
    </w:p>
    <w:p>
      <w:pPr>
        <w:pStyle w:val="1150"/>
        <w:spacing w:line="283" w:lineRule="atLeast"/>
        <w:ind w:firstLine="709"/>
        <w:jc w:val="both"/>
      </w:pPr>
      <w:r>
        <w:t xml:space="preserve">формирование</w:t>
      </w:r>
      <w:r>
        <w:rPr>
          <w:spacing w:val="-4"/>
        </w:rPr>
        <w:t xml:space="preserve"> </w:t>
      </w:r>
      <w:r>
        <w:t xml:space="preserve">эффективной</w:t>
      </w:r>
      <w:r>
        <w:rPr>
          <w:spacing w:val="-4"/>
        </w:rPr>
        <w:t xml:space="preserve"> </w:t>
      </w:r>
      <w:r>
        <w:t xml:space="preserve">си</w:t>
      </w:r>
      <w:r>
        <w:t xml:space="preserve">стемы</w:t>
      </w:r>
      <w:r>
        <w:rPr>
          <w:spacing w:val="-4"/>
        </w:rPr>
        <w:t xml:space="preserve"> </w:t>
      </w:r>
      <w:r>
        <w:t xml:space="preserve">выявления,</w:t>
      </w:r>
      <w:r>
        <w:rPr>
          <w:spacing w:val="-4"/>
        </w:rPr>
        <w:t xml:space="preserve"> </w:t>
      </w:r>
      <w:r>
        <w:t xml:space="preserve">поддержки</w:t>
      </w:r>
      <w:r>
        <w:rPr>
          <w:spacing w:val="-4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развития способностей и талантов у детей и молодежи, основанной на принципах ответственности, справедливости, всеобщности и направленной на самоопределение и профессиональную ориентацию всех обучающихся;</w:t>
      </w:r>
    </w:p>
    <w:p>
      <w:pPr>
        <w:pStyle w:val="1150"/>
        <w:spacing w:line="283" w:lineRule="atLeast"/>
        <w:ind w:firstLine="709"/>
        <w:jc w:val="both"/>
      </w:pPr>
      <w:r>
        <w:t xml:space="preserve">создание к 2030 году ус</w:t>
      </w:r>
      <w:r>
        <w:t xml:space="preserve">ловий для воспитания гармонично развитой, патриотичной и социально ответственной личности на основе традиционных российских духовно-нравственных и культурно-исторических ценностей;</w:t>
      </w:r>
    </w:p>
    <w:p>
      <w:pPr>
        <w:pStyle w:val="1150"/>
        <w:spacing w:line="283" w:lineRule="atLeast"/>
        <w:ind w:firstLine="708"/>
        <w:jc w:val="both"/>
      </w:pPr>
      <w:r>
        <w:t xml:space="preserve">формирование современной системы профессионального развития педагогических </w:t>
      </w:r>
      <w:r>
        <w:t xml:space="preserve">работников всех уровней образования, позволяющей их отвечать современным стандартам профессионального мастерства;</w:t>
      </w:r>
    </w:p>
    <w:p>
      <w:pPr>
        <w:pStyle w:val="1150"/>
        <w:spacing w:line="283" w:lineRule="atLeast"/>
        <w:jc w:val="both"/>
      </w:pPr>
      <w:r>
        <w:t xml:space="preserve">интеграция</w:t>
      </w:r>
      <w:r>
        <w:rPr>
          <w:spacing w:val="-1"/>
        </w:rPr>
        <w:t xml:space="preserve"> </w:t>
      </w:r>
      <w:r>
        <w:t xml:space="preserve">высшего образования и</w:t>
      </w:r>
      <w:r>
        <w:rPr>
          <w:spacing w:val="-1"/>
        </w:rPr>
        <w:t xml:space="preserve"> </w:t>
      </w:r>
      <w:r>
        <w:rPr>
          <w:spacing w:val="-2"/>
        </w:rPr>
        <w:t xml:space="preserve">науки.</w:t>
      </w:r>
    </w:p>
    <w:p>
      <w:pPr>
        <w:pStyle w:val="1150"/>
        <w:spacing w:line="283" w:lineRule="atLeast"/>
        <w:ind w:firstLine="709"/>
        <w:jc w:val="both"/>
      </w:pPr>
      <w:r>
        <w:t xml:space="preserve">Для решения поставленных задач планируется реализация следующих </w:t>
      </w:r>
      <w:r>
        <w:rPr>
          <w:spacing w:val="-2"/>
        </w:rPr>
        <w:t xml:space="preserve">мероприятий:</w:t>
      </w:r>
    </w:p>
    <w:p>
      <w:pPr>
        <w:pStyle w:val="1150"/>
        <w:spacing w:line="283" w:lineRule="atLeast"/>
        <w:ind w:firstLine="709"/>
        <w:jc w:val="both"/>
      </w:pPr>
      <w:r>
        <w:t xml:space="preserve">модернизация</w:t>
      </w:r>
      <w:r>
        <w:rPr>
          <w:spacing w:val="34"/>
        </w:rPr>
        <w:t xml:space="preserve"> </w:t>
      </w:r>
      <w:r>
        <w:t xml:space="preserve">инфраструкту</w:t>
      </w:r>
      <w:r>
        <w:t xml:space="preserve">ры</w:t>
      </w:r>
      <w:r>
        <w:rPr>
          <w:spacing w:val="35"/>
        </w:rPr>
        <w:t xml:space="preserve"> </w:t>
      </w:r>
      <w:r>
        <w:t xml:space="preserve">образования</w:t>
      </w:r>
      <w:r>
        <w:rPr>
          <w:spacing w:val="34"/>
        </w:rPr>
        <w:t xml:space="preserve"> </w:t>
      </w:r>
      <w:r>
        <w:t xml:space="preserve">–</w:t>
      </w:r>
      <w:r>
        <w:rPr>
          <w:spacing w:val="35"/>
        </w:rPr>
        <w:t xml:space="preserve"> </w:t>
      </w:r>
      <w:r>
        <w:t xml:space="preserve">адресное</w:t>
      </w:r>
      <w:r>
        <w:rPr>
          <w:spacing w:val="34"/>
        </w:rPr>
        <w:t xml:space="preserve"> </w:t>
      </w:r>
      <w:r>
        <w:t xml:space="preserve">строительство объектов, проведение капитального ремонта организаций;</w:t>
      </w:r>
    </w:p>
    <w:p>
      <w:pPr>
        <w:pStyle w:val="1150"/>
        <w:spacing w:line="283" w:lineRule="atLeast"/>
        <w:ind w:firstLine="709"/>
        <w:jc w:val="both"/>
      </w:pPr>
      <w:r>
        <w:t xml:space="preserve">обновление</w:t>
      </w:r>
      <w:r>
        <w:rPr>
          <w:spacing w:val="80"/>
        </w:rPr>
        <w:t xml:space="preserve"> </w:t>
      </w:r>
      <w:r>
        <w:t xml:space="preserve">материально-технического</w:t>
      </w:r>
      <w:r>
        <w:rPr>
          <w:spacing w:val="80"/>
        </w:rPr>
        <w:t xml:space="preserve"> </w:t>
      </w:r>
      <w:r>
        <w:t xml:space="preserve">обеспечения</w:t>
      </w:r>
      <w:r>
        <w:rPr>
          <w:spacing w:val="80"/>
        </w:rPr>
        <w:t xml:space="preserve"> </w:t>
      </w:r>
      <w:r>
        <w:t xml:space="preserve">для</w:t>
      </w:r>
      <w:r>
        <w:rPr>
          <w:spacing w:val="80"/>
        </w:rPr>
        <w:t xml:space="preserve"> </w:t>
      </w:r>
      <w:r>
        <w:t xml:space="preserve">реализации образовательного процесса в организациях;</w:t>
      </w:r>
    </w:p>
    <w:p>
      <w:pPr>
        <w:pStyle w:val="1150"/>
        <w:spacing w:line="283" w:lineRule="atLeast"/>
        <w:ind w:firstLine="709"/>
        <w:jc w:val="both"/>
      </w:pPr>
      <w:r>
        <w:t xml:space="preserve">внедрение</w:t>
      </w:r>
      <w:r>
        <w:rPr>
          <w:spacing w:val="80"/>
        </w:rPr>
        <w:t xml:space="preserve"> </w:t>
      </w:r>
      <w:r>
        <w:t xml:space="preserve">лучших</w:t>
      </w:r>
      <w:r>
        <w:rPr>
          <w:spacing w:val="80"/>
        </w:rPr>
        <w:t xml:space="preserve"> </w:t>
      </w:r>
      <w:r>
        <w:t xml:space="preserve">практик/коробочных</w:t>
      </w:r>
      <w:r>
        <w:rPr>
          <w:spacing w:val="80"/>
        </w:rPr>
        <w:t xml:space="preserve"> </w:t>
      </w:r>
      <w:r>
        <w:t xml:space="preserve">решений,</w:t>
      </w:r>
      <w:r>
        <w:rPr>
          <w:spacing w:val="80"/>
        </w:rPr>
        <w:t xml:space="preserve"> </w:t>
      </w:r>
      <w:r>
        <w:t xml:space="preserve">направленны</w:t>
      </w:r>
      <w:r>
        <w:t xml:space="preserve">х</w:t>
      </w:r>
      <w:r>
        <w:rPr>
          <w:spacing w:val="80"/>
        </w:rPr>
        <w:t xml:space="preserve"> </w:t>
      </w:r>
      <w:r>
        <w:t xml:space="preserve">на повышение производительности труда в образовательных организациях;</w:t>
      </w:r>
    </w:p>
    <w:p>
      <w:pPr>
        <w:pStyle w:val="1150"/>
        <w:tabs>
          <w:tab w:val="left" w:pos="2407" w:leader="none"/>
          <w:tab w:val="left" w:pos="4922" w:leader="none"/>
          <w:tab w:val="left" w:pos="6136" w:leader="none"/>
          <w:tab w:val="left" w:pos="7684" w:leader="none"/>
          <w:tab w:val="left" w:pos="9205" w:leader="none"/>
        </w:tabs>
        <w:spacing w:line="283" w:lineRule="atLeast"/>
        <w:ind w:firstLine="709"/>
        <w:jc w:val="both"/>
      </w:pPr>
      <w:r>
        <w:rPr>
          <w:spacing w:val="-2"/>
        </w:rPr>
        <w:t xml:space="preserve">обеспечение функционирования системы выявления, поддержки</w:t>
      </w:r>
      <w:r>
        <w:rPr>
          <w:spacing w:val="-10"/>
        </w:rPr>
        <w:t xml:space="preserve"> и </w:t>
      </w:r>
      <w:r>
        <w:t xml:space="preserve">развития способностей и талантов детей и молодежи;</w:t>
      </w:r>
    </w:p>
    <w:p>
      <w:pPr>
        <w:pStyle w:val="1150"/>
        <w:spacing w:line="283" w:lineRule="atLeast"/>
        <w:ind w:firstLine="709"/>
        <w:jc w:val="both"/>
      </w:pPr>
      <w:r>
        <w:t xml:space="preserve">обеспечение</w:t>
      </w:r>
      <w:r>
        <w:rPr>
          <w:spacing w:val="-17"/>
        </w:rPr>
        <w:t xml:space="preserve"> </w:t>
      </w:r>
      <w:r>
        <w:t xml:space="preserve">функционирования</w:t>
      </w:r>
      <w:r>
        <w:rPr>
          <w:spacing w:val="-16"/>
        </w:rPr>
        <w:t xml:space="preserve"> </w:t>
      </w:r>
      <w:r>
        <w:t xml:space="preserve">системы</w:t>
      </w:r>
      <w:r>
        <w:rPr>
          <w:spacing w:val="-16"/>
        </w:rPr>
        <w:t xml:space="preserve"> </w:t>
      </w:r>
      <w:r>
        <w:t xml:space="preserve">воспитания</w:t>
      </w:r>
      <w:r>
        <w:rPr>
          <w:spacing w:val="-16"/>
        </w:rPr>
        <w:t xml:space="preserve"> </w:t>
      </w:r>
      <w:r>
        <w:t xml:space="preserve">детей</w:t>
      </w:r>
      <w:r>
        <w:rPr>
          <w:spacing w:val="-16"/>
        </w:rPr>
        <w:t xml:space="preserve"> </w:t>
      </w:r>
      <w:r>
        <w:t xml:space="preserve">и</w:t>
      </w:r>
      <w:r>
        <w:rPr>
          <w:spacing w:val="-16"/>
        </w:rPr>
        <w:t xml:space="preserve"> </w:t>
      </w:r>
      <w:r>
        <w:t xml:space="preserve">молодежи;</w:t>
      </w:r>
    </w:p>
    <w:p>
      <w:pPr>
        <w:pStyle w:val="1150"/>
        <w:spacing w:line="283" w:lineRule="atLeast"/>
        <w:ind w:firstLine="709"/>
        <w:jc w:val="both"/>
      </w:pPr>
      <w:r>
        <w:t xml:space="preserve">модернизация</w:t>
      </w:r>
      <w:r>
        <w:rPr>
          <w:spacing w:val="49"/>
        </w:rPr>
        <w:t xml:space="preserve"> </w:t>
      </w:r>
      <w:r>
        <w:t xml:space="preserve">среднего</w:t>
      </w:r>
      <w:r>
        <w:rPr>
          <w:spacing w:val="50"/>
        </w:rPr>
        <w:t xml:space="preserve"> </w:t>
      </w:r>
      <w:r>
        <w:t xml:space="preserve">профессионального</w:t>
      </w:r>
      <w:r>
        <w:rPr>
          <w:spacing w:val="49"/>
        </w:rPr>
        <w:t xml:space="preserve"> </w:t>
      </w:r>
      <w:r>
        <w:t xml:space="preserve">образования,</w:t>
      </w:r>
      <w:r>
        <w:rPr>
          <w:spacing w:val="50"/>
        </w:rPr>
        <w:t xml:space="preserve"> </w:t>
      </w:r>
      <w:r>
        <w:t xml:space="preserve">в</w:t>
      </w:r>
      <w:r>
        <w:rPr>
          <w:spacing w:val="49"/>
        </w:rPr>
        <w:t xml:space="preserve"> </w:t>
      </w:r>
      <w:r>
        <w:t xml:space="preserve">том</w:t>
      </w:r>
      <w:r>
        <w:rPr>
          <w:spacing w:val="50"/>
        </w:rPr>
        <w:t xml:space="preserve"> </w:t>
      </w:r>
      <w:r>
        <w:rPr>
          <w:spacing w:val="-2"/>
        </w:rPr>
        <w:t xml:space="preserve">числе </w:t>
      </w:r>
      <w:r>
        <w:t xml:space="preserve">путем вовлечения отраслевых предприятий в подготовку рабочих кадров; </w:t>
      </w:r>
    </w:p>
    <w:p>
      <w:pPr>
        <w:pStyle w:val="1150"/>
        <w:spacing w:line="283" w:lineRule="atLeast"/>
        <w:ind w:firstLine="709"/>
        <w:jc w:val="both"/>
      </w:pPr>
      <w:r>
        <w:rPr>
          <w:spacing w:val="-2"/>
        </w:rPr>
        <w:t xml:space="preserve">повышение квалификации, профессиональная подготовка/переподготовка педагогических работников, реализация </w:t>
      </w:r>
      <w:r>
        <w:t xml:space="preserve">программы «Земск</w:t>
      </w:r>
      <w:r>
        <w:t xml:space="preserve">ий учитель»;</w:t>
      </w:r>
    </w:p>
    <w:p>
      <w:pPr>
        <w:pStyle w:val="1150"/>
        <w:spacing w:line="283" w:lineRule="atLeast"/>
        <w:ind w:firstLine="720"/>
        <w:jc w:val="both"/>
      </w:pPr>
      <w:r>
        <w:t xml:space="preserve">создание</w:t>
      </w:r>
      <w:r>
        <w:rPr>
          <w:spacing w:val="-7"/>
        </w:rPr>
        <w:t xml:space="preserve"> </w:t>
      </w:r>
      <w:r>
        <w:t xml:space="preserve">межвузовского</w:t>
      </w:r>
      <w:r>
        <w:rPr>
          <w:spacing w:val="-7"/>
        </w:rPr>
        <w:t xml:space="preserve"> </w:t>
      </w:r>
      <w:r>
        <w:t xml:space="preserve">кампуса</w:t>
      </w:r>
      <w:r>
        <w:rPr>
          <w:spacing w:val="-7"/>
        </w:rPr>
        <w:t xml:space="preserve"> </w:t>
      </w:r>
      <w:r>
        <w:t xml:space="preserve">в</w:t>
      </w:r>
      <w:r>
        <w:rPr>
          <w:spacing w:val="-8"/>
        </w:rPr>
        <w:t xml:space="preserve"> </w:t>
      </w:r>
      <w:r>
        <w:t xml:space="preserve">г.</w:t>
      </w:r>
      <w:r>
        <w:rPr>
          <w:spacing w:val="-7"/>
        </w:rPr>
        <w:t xml:space="preserve"> </w:t>
      </w:r>
      <w:r>
        <w:t xml:space="preserve">Чите. </w:t>
      </w:r>
    </w:p>
    <w:p>
      <w:pPr>
        <w:pStyle w:val="1150"/>
        <w:spacing w:line="283" w:lineRule="atLeast"/>
        <w:ind w:left="709"/>
        <w:jc w:val="both"/>
      </w:pPr>
      <w:r>
        <w:t xml:space="preserve">Ожидаемые результаты к 2030 году:</w:t>
      </w:r>
    </w:p>
    <w:p>
      <w:pPr>
        <w:pStyle w:val="1038"/>
        <w:numPr>
          <w:numId w:val="16"/>
          <w:ilvl w:val="0"/>
        </w:numPr>
        <w:tabs>
          <w:tab w:val="left" w:pos="1012" w:leader="none"/>
        </w:tabs>
        <w:spacing w:after="0" w:line="283" w:lineRule="atLeast"/>
        <w:ind w:hanging="303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уровень</w:t>
      </w:r>
      <w:r>
        <w:rPr>
          <w:rFonts w:ascii="Times New Roman" w:hAnsi="Times New Roman" w:eastAsia="Times New Roman"/>
          <w:spacing w:val="-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образования</w:t>
      </w:r>
      <w:r>
        <w:rPr>
          <w:rFonts w:ascii="Times New Roman" w:hAnsi="Times New Roman" w:eastAsia="Times New Roman"/>
          <w:spacing w:val="-2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–</w:t>
      </w:r>
      <w:r>
        <w:rPr>
          <w:rFonts w:ascii="Times New Roman" w:hAnsi="Times New Roman" w:eastAsia="Times New Roman"/>
          <w:spacing w:val="-2"/>
          <w:sz w:val="28"/>
        </w:rPr>
        <w:t xml:space="preserve"> 67,8%;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6"/>
          <w:ilvl w:val="0"/>
        </w:numPr>
        <w:tabs>
          <w:tab w:val="left" w:pos="1012" w:leader="none"/>
        </w:tabs>
        <w:spacing w:after="0" w:line="283" w:lineRule="atLeast"/>
        <w:ind w:hanging="303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доступность</w:t>
      </w:r>
      <w:r>
        <w:rPr>
          <w:rFonts w:ascii="Times New Roman" w:hAnsi="Times New Roman" w:eastAsia="Times New Roman"/>
          <w:spacing w:val="-4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дошкольного</w:t>
      </w:r>
      <w:r>
        <w:rPr>
          <w:rFonts w:ascii="Times New Roman" w:hAnsi="Times New Roman" w:eastAsia="Times New Roman"/>
          <w:spacing w:val="-2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образования</w:t>
      </w:r>
      <w:r>
        <w:rPr>
          <w:rFonts w:ascii="Times New Roman" w:hAnsi="Times New Roman" w:eastAsia="Times New Roman"/>
          <w:spacing w:val="-3"/>
          <w:sz w:val="28"/>
        </w:rPr>
        <w:t xml:space="preserve"> </w:t>
      </w:r>
      <w:r>
        <w:rPr>
          <w:rFonts w:ascii="Times New Roman" w:hAnsi="Times New Roman" w:eastAsia="Times New Roman"/>
          <w:sz w:val="28"/>
        </w:rPr>
        <w:t xml:space="preserve">–</w:t>
      </w:r>
      <w:r>
        <w:rPr>
          <w:rFonts w:ascii="Times New Roman" w:hAnsi="Times New Roman" w:eastAsia="Times New Roman"/>
          <w:spacing w:val="-2"/>
          <w:sz w:val="28"/>
        </w:rPr>
        <w:t xml:space="preserve"> 100%;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6"/>
          <w:ilvl w:val="0"/>
        </w:numPr>
        <w:tabs>
          <w:tab w:val="left" w:pos="1146" w:leader="none"/>
        </w:tabs>
        <w:spacing w:after="0" w:line="283" w:lineRule="atLeast"/>
        <w:ind w:left="1"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доля выпускников образовательных организаций, реализующих программы среднего профессионального образования, занятых по виду деятельности и полученным компетенциям – 63,3 %;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6"/>
          <w:ilvl w:val="0"/>
        </w:numPr>
        <w:tabs>
          <w:tab w:val="left" w:pos="1229" w:leader="none"/>
        </w:tabs>
        <w:spacing w:after="0" w:line="283" w:lineRule="atLeast"/>
        <w:ind w:left="1"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эффективность системы выявления, поддержки и развития способностей и талантов у дет</w:t>
      </w:r>
      <w:r>
        <w:rPr>
          <w:rFonts w:ascii="Times New Roman" w:hAnsi="Times New Roman" w:eastAsia="Times New Roman"/>
          <w:sz w:val="28"/>
        </w:rPr>
        <w:t xml:space="preserve">ей и молодежи – 41,4%;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038"/>
        <w:numPr>
          <w:numId w:val="16"/>
          <w:ilvl w:val="0"/>
        </w:numPr>
        <w:tabs>
          <w:tab w:val="left" w:pos="1224" w:leader="none"/>
        </w:tabs>
        <w:spacing w:after="0" w:line="283" w:lineRule="atLeast"/>
        <w:ind w:left="1" w:firstLine="708"/>
        <w:contextualSpacing w:val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 w:eastAsia="Times New Roman"/>
          <w:sz w:val="28"/>
        </w:rPr>
        <w:t xml:space="preserve">доля педагогических работников, отвечающих современным стандартам профессионального мастерства – 100%».</w:t>
      </w:r>
      <w:r>
        <w:rPr>
          <w:rFonts w:ascii="Times New Roman" w:hAnsi="Times New Roman"/>
          <w:sz w:val="28"/>
        </w:rPr>
      </w:r>
      <w:r>
        <w:rPr>
          <w:rFonts w:ascii="Times New Roman" w:hAnsi="Times New Roman"/>
          <w:sz w:val="28"/>
        </w:rPr>
      </w:r>
    </w:p>
    <w:p>
      <w:pPr>
        <w:pStyle w:val="1150"/>
        <w:tabs>
          <w:tab w:val="left" w:pos="622" w:leader="none"/>
          <w:tab w:val="left" w:pos="3250" w:leader="none"/>
          <w:tab w:val="left" w:pos="4420" w:leader="none"/>
          <w:tab w:val="left" w:pos="6121" w:leader="none"/>
          <w:tab w:val="left" w:pos="7669" w:leader="none"/>
          <w:tab w:val="left" w:pos="8141" w:leader="none"/>
        </w:tabs>
        <w:spacing w:line="283" w:lineRule="atLeast"/>
        <w:ind w:firstLine="708"/>
        <w:jc w:val="both"/>
      </w:pPr>
      <w:r>
        <w:t xml:space="preserve">Мероприятие по доведению заработной платы работников образования </w:t>
      </w:r>
      <w:r>
        <w:rPr>
          <w:spacing w:val="-5"/>
        </w:rPr>
        <w:t xml:space="preserve">до</w:t>
      </w:r>
      <w:r>
        <w:rPr>
          <w:spacing w:val="-2"/>
        </w:rPr>
        <w:t xml:space="preserve"> среднероссийского уровня предлагаем перенести</w:t>
      </w:r>
      <w:r>
        <w:rPr>
          <w:spacing w:val="-10"/>
        </w:rPr>
        <w:t xml:space="preserve"> в</w:t>
      </w:r>
      <w:r>
        <w:rPr>
          <w:spacing w:val="-2"/>
        </w:rPr>
        <w:t xml:space="preserve"> подраздел </w:t>
      </w:r>
      <w:r>
        <w:t xml:space="preserve">4.1</w:t>
      </w:r>
      <w:r>
        <w:rPr>
          <w:spacing w:val="-5"/>
        </w:rPr>
        <w:t xml:space="preserve"> </w:t>
      </w:r>
      <w:r>
        <w:t xml:space="preserve">«Демографическое развитие. Социальная политика. Рост благосостояния. </w:t>
      </w:r>
      <w:r>
        <w:rPr>
          <w:spacing w:val="-2"/>
        </w:rPr>
        <w:t xml:space="preserve">Эффективная занятость»,</w:t>
      </w:r>
      <w:r>
        <w:rPr>
          <w:spacing w:val="-5"/>
        </w:rPr>
        <w:t xml:space="preserve"> так как оно</w:t>
      </w:r>
      <w:r>
        <w:rPr>
          <w:spacing w:val="-2"/>
        </w:rPr>
        <w:t xml:space="preserve"> является актуальными</w:t>
      </w:r>
      <w:r>
        <w:rPr>
          <w:spacing w:val="-5"/>
        </w:rPr>
        <w:t xml:space="preserve"> для</w:t>
      </w:r>
      <w:r>
        <w:rPr>
          <w:spacing w:val="-4"/>
        </w:rPr>
        <w:t xml:space="preserve"> всех </w:t>
      </w:r>
      <w:r>
        <w:t xml:space="preserve">«указных»</w:t>
      </w:r>
      <w:r>
        <w:rPr>
          <w:spacing w:val="-6"/>
        </w:rPr>
        <w:t xml:space="preserve"> </w:t>
      </w:r>
      <w:r>
        <w:t xml:space="preserve">категорий</w:t>
      </w:r>
      <w:r>
        <w:rPr>
          <w:spacing w:val="-6"/>
        </w:rPr>
        <w:t xml:space="preserve"> </w:t>
      </w:r>
      <w:r>
        <w:t xml:space="preserve">работников</w:t>
      </w:r>
      <w:r>
        <w:rPr>
          <w:spacing w:val="-6"/>
        </w:rPr>
        <w:t xml:space="preserve"> </w:t>
      </w:r>
      <w:r>
        <w:t xml:space="preserve">социальной</w:t>
      </w:r>
      <w:r>
        <w:rPr>
          <w:spacing w:val="-6"/>
        </w:rPr>
        <w:t xml:space="preserve"> </w:t>
      </w:r>
      <w:r>
        <w:rPr>
          <w:spacing w:val="-2"/>
        </w:rPr>
        <w:t xml:space="preserve">сферы.</w:t>
      </w:r>
    </w:p>
    <w:p>
      <w:pPr>
        <w:pStyle w:val="1150"/>
        <w:spacing w:line="283" w:lineRule="atLeast"/>
        <w:ind w:firstLine="708"/>
        <w:jc w:val="both"/>
      </w:pPr>
      <w:r>
        <w:t xml:space="preserve">Также</w:t>
      </w:r>
      <w:r>
        <w:rPr>
          <w:spacing w:val="-11"/>
        </w:rPr>
        <w:t xml:space="preserve"> </w:t>
      </w:r>
      <w:r>
        <w:t xml:space="preserve">сообщаем,</w:t>
      </w:r>
      <w:r>
        <w:rPr>
          <w:spacing w:val="-11"/>
        </w:rPr>
        <w:t xml:space="preserve"> </w:t>
      </w:r>
      <w:r>
        <w:t xml:space="preserve">что</w:t>
      </w:r>
      <w:r>
        <w:rPr>
          <w:spacing w:val="-11"/>
        </w:rPr>
        <w:t xml:space="preserve"> </w:t>
      </w:r>
      <w:r>
        <w:t xml:space="preserve">информацией</w:t>
      </w:r>
      <w:r>
        <w:rPr>
          <w:spacing w:val="-11"/>
        </w:rPr>
        <w:t xml:space="preserve"> </w:t>
      </w:r>
      <w:r>
        <w:t xml:space="preserve">о</w:t>
      </w:r>
      <w:r>
        <w:rPr>
          <w:spacing w:val="-11"/>
        </w:rPr>
        <w:t xml:space="preserve"> </w:t>
      </w:r>
      <w:r>
        <w:t xml:space="preserve">структуре</w:t>
      </w:r>
      <w:r>
        <w:rPr>
          <w:spacing w:val="-11"/>
        </w:rPr>
        <w:t xml:space="preserve"> </w:t>
      </w:r>
      <w:r>
        <w:t xml:space="preserve">валового</w:t>
      </w:r>
      <w:r>
        <w:rPr>
          <w:spacing w:val="-11"/>
        </w:rPr>
        <w:t xml:space="preserve"> </w:t>
      </w:r>
      <w:r>
        <w:t xml:space="preserve">регионального продукта Забайкальского края, структуре инвестиций в основной капитал Забайкальского края не располагаем.</w:t>
      </w:r>
    </w:p>
    <w:p>
      <w:pPr>
        <w:spacing w:before="240" w:after="0" w:line="240" w:lineRule="auto"/>
        <w:ind w:firstLine="709"/>
        <w:jc w:val="both"/>
        <w:rPr>
          <w:rFonts w:ascii="Times New Roman" w:hAnsi="Times New Roman" w:eastAsia="Calibri" w:cs="Times New Roman"/>
          <w:i/>
          <w:iCs/>
          <w:sz w:val="28"/>
          <w:szCs w:val="28"/>
        </w:rPr>
      </w:pPr>
      <w:r>
        <w:rPr>
          <w:rFonts w:ascii="Times New Roman" w:hAnsi="Times New Roman" w:eastAsia="Calibri" w:cs="Times New Roman"/>
          <w:i/>
          <w:iCs/>
          <w:sz w:val="28"/>
          <w:szCs w:val="28"/>
        </w:rPr>
        <w:t xml:space="preserve">Молодежная политика</w:t>
      </w:r>
      <w:r>
        <w:rPr>
          <w:rFonts w:ascii="Times New Roman" w:hAnsi="Times New Roman" w:eastAsia="Calibri" w:cs="Times New Roman"/>
          <w:i/>
          <w:iCs/>
          <w:sz w:val="28"/>
          <w:szCs w:val="28"/>
        </w:rPr>
      </w:r>
      <w:r>
        <w:rPr>
          <w:rFonts w:ascii="Times New Roman" w:hAnsi="Times New Roman" w:eastAsia="Calibri" w:cs="Times New Roman"/>
          <w:i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Одной из мер поддержки молодежи является предоставление жилых помещений молодым семьям для улучшения условий прожива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путем предоставления им социальных выплат на приобретение (строительство) жилья. В 2021 году молодым семьям было выдано 452 жилищных сертификата, на 2022 год запланирована выдача 380 жилищных сертификатов. Количество молодых семей на 10 000 человек нас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еления, улучшивших жилищные условия в 2020 году, составило около 0,1%. По данному показателю Забайкальский край занимает одно из последних мест в ДФО.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целях повышения качества жизни семей с детьми в рамках регионального проекта «Финансовая поддержка семей при рождении детей»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семьям с детьми оказывается адресная социальная поддержка. В 2024 году 8 тысяч семей получили финансовую поддержку в случае рожд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ения детей на общую сумму 864,7 миллиона рублей.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Важным направлением работы с молодежью является помощь в трудоустройстве, что особенно важно в условиях растущей демографической нагрузки. Остается высокая доля безработной молодежи, что означает неполное ис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пользование имеющихся трудовых ресурсов в условиях дефицита молодых кадров.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Целью направления является формирование к 2030 году системы молодежной политики в Забайкальском крае, ориентированной на патриотическое и духовно-нравственное воспитание молодых гр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аждан, соблюдение их прав, свобод и законных интересов, улучшение социально - экономического положения молодежи, активное ее привлечение к участию в государственном строительстве и развитии современного российского общества с учетом его актуальных потребно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стей, вызовов и угроз, стоящих перед страной.</w:t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iCs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В 2024 году 8 тысяч семей получили финансовую поддержку в случае рождения детей на общую сумму 864,7 миллиона рублей.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Основные направления для достижения цели: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Патриотизм и ценностные ориентиры. Развитие традиционных российских ценностно-смысловых и нравственных ориентиров, гражданственности и патриотизма в молодежной среде.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</w:t>
      </w:r>
      <w:r>
        <w:rPr>
          <w:color w:val="000000"/>
          <w:sz w:val="28"/>
          <w:szCs w:val="28"/>
        </w:rPr>
        <w:tab/>
        <w:t xml:space="preserve">Семья и дети. Создание благоприятных условий для молодых семей как основного фактора р</w:t>
      </w:r>
      <w:r>
        <w:rPr>
          <w:color w:val="000000"/>
          <w:sz w:val="28"/>
          <w:szCs w:val="28"/>
        </w:rPr>
        <w:t xml:space="preserve">азвития демографической ситуации в регионе, формирование ценностей семейной культуры.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3.</w:t>
      </w:r>
      <w:r>
        <w:rPr>
          <w:color w:val="000000"/>
          <w:sz w:val="28"/>
          <w:szCs w:val="28"/>
        </w:rPr>
        <w:tab/>
        <w:t xml:space="preserve">Развитие и здоровье. Развитие системы ценностей здорового образа жизни в молодежной среде, обеспечение социальных гарантий для молодежи.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</w:t>
      </w:r>
      <w:r>
        <w:rPr>
          <w:color w:val="000000"/>
          <w:sz w:val="28"/>
          <w:szCs w:val="28"/>
        </w:rPr>
        <w:tab/>
        <w:t xml:space="preserve">Наука и инновации. Создание</w:t>
      </w:r>
      <w:r>
        <w:rPr>
          <w:color w:val="000000"/>
          <w:sz w:val="28"/>
          <w:szCs w:val="28"/>
        </w:rPr>
        <w:t xml:space="preserve"> условий для выявления и поддержки талантливой молодежи и привлечению ее в сферу высшего образования, науки и инноваций.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5.</w:t>
      </w:r>
      <w:r>
        <w:rPr>
          <w:color w:val="000000"/>
          <w:sz w:val="28"/>
          <w:szCs w:val="28"/>
        </w:rPr>
        <w:tab/>
        <w:t xml:space="preserve">Труд и занятость. Обеспечение экономической активности молодых людей региона, их профессионального развития, содействия занятости, </w:t>
      </w:r>
      <w:r>
        <w:rPr>
          <w:color w:val="000000"/>
          <w:sz w:val="28"/>
          <w:szCs w:val="28"/>
        </w:rPr>
        <w:t xml:space="preserve">трудоустройству и предпринимательской деятельности.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6.</w:t>
      </w:r>
      <w:r>
        <w:rPr>
          <w:color w:val="000000"/>
          <w:sz w:val="28"/>
          <w:szCs w:val="28"/>
        </w:rPr>
        <w:tab/>
        <w:t xml:space="preserve">Безопасность и правопорядок. Реализация мер по противодействию деструктивному поведению молодежи, ее правовому просвещению и созданию системы информационной защиты в сфере молодежной политики.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7.</w:t>
      </w:r>
      <w:r>
        <w:rPr>
          <w:color w:val="000000"/>
          <w:sz w:val="28"/>
          <w:szCs w:val="28"/>
        </w:rPr>
        <w:tab/>
        <w:t xml:space="preserve">Межн</w:t>
      </w:r>
      <w:r>
        <w:rPr>
          <w:color w:val="000000"/>
          <w:sz w:val="28"/>
          <w:szCs w:val="28"/>
        </w:rPr>
        <w:t xml:space="preserve">ациональное и международное сотрудничество. Формирование культуры мира и согласия в межнациональных отношениях в молодежной среде, развитие международного сотрудничества, как одной из основ для культурного, экономического и социального развития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</w:t>
      </w:r>
      <w:r>
        <w:rPr>
          <w:color w:val="000000"/>
          <w:sz w:val="28"/>
          <w:szCs w:val="28"/>
        </w:rPr>
        <w:tab/>
        <w:t xml:space="preserve">Добровол</w:t>
      </w:r>
      <w:r>
        <w:rPr>
          <w:color w:val="000000"/>
          <w:sz w:val="28"/>
          <w:szCs w:val="28"/>
        </w:rPr>
        <w:t xml:space="preserve">ьчество и общественная активность. Создание условий для развития молодежного добровольчества (</w:t>
      </w:r>
      <w:r>
        <w:rPr>
          <w:color w:val="000000"/>
          <w:sz w:val="28"/>
          <w:szCs w:val="28"/>
        </w:rPr>
        <w:t xml:space="preserve">волонтерства</w:t>
      </w:r>
      <w:r>
        <w:rPr>
          <w:color w:val="000000"/>
          <w:sz w:val="28"/>
          <w:szCs w:val="28"/>
        </w:rPr>
        <w:t xml:space="preserve">), молодежных и </w:t>
      </w:r>
      <w:r>
        <w:rPr>
          <w:color w:val="000000"/>
          <w:sz w:val="28"/>
          <w:szCs w:val="28"/>
        </w:rPr>
        <w:t xml:space="preserve">детских общественно - государственных и общественных объединений, органов молодежного самоуправления.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</w:t>
      </w:r>
      <w:r>
        <w:rPr>
          <w:color w:val="000000"/>
          <w:sz w:val="28"/>
          <w:szCs w:val="28"/>
        </w:rPr>
        <w:tab/>
        <w:t xml:space="preserve">Кадры и инфраструктура. Совер</w:t>
      </w:r>
      <w:r>
        <w:rPr>
          <w:color w:val="000000"/>
          <w:sz w:val="28"/>
          <w:szCs w:val="28"/>
        </w:rPr>
        <w:t xml:space="preserve">шенствование системы органов управления, развитие инфраструктуры и материально - технической базы организаций, работающих в сфере молодежной политики. </w:t>
      </w:r>
      <w:r>
        <w:rPr>
          <w:color w:val="000000"/>
          <w:sz w:val="28"/>
          <w:szCs w:val="28"/>
        </w:rPr>
      </w:r>
      <w:r>
        <w:rPr>
          <w:color w:val="000000"/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цели планируется реализация следующих основных мероприятий: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2"/>
        <w:widowControl w:val="off"/>
        <w:numPr>
          <w:numId w:val="19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мероприятий по соц</w:t>
      </w:r>
      <w:r>
        <w:rPr>
          <w:sz w:val="28"/>
          <w:szCs w:val="28"/>
        </w:rPr>
        <w:t xml:space="preserve">иализации молодежи;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2"/>
        <w:widowControl w:val="off"/>
        <w:numPr>
          <w:numId w:val="19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мероприятий по патриотическому воспитанию молодежи;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2"/>
        <w:widowControl w:val="off"/>
        <w:numPr>
          <w:numId w:val="19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информационных и рекламных кампаний на ТВ и в сети «Интернет» по популяризации добровольчества (</w:t>
      </w:r>
      <w:r>
        <w:rPr>
          <w:sz w:val="28"/>
          <w:szCs w:val="28"/>
        </w:rPr>
        <w:t xml:space="preserve">волонтерства</w:t>
      </w:r>
      <w:r>
        <w:rPr>
          <w:sz w:val="28"/>
          <w:szCs w:val="28"/>
        </w:rPr>
        <w:t xml:space="preserve">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2"/>
        <w:widowControl w:val="off"/>
        <w:numPr>
          <w:numId w:val="19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Содействие в организации участия представителей Заб</w:t>
      </w:r>
      <w:r>
        <w:rPr>
          <w:sz w:val="28"/>
          <w:szCs w:val="28"/>
        </w:rPr>
        <w:t xml:space="preserve">айкальского края в форумной кампании.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2"/>
        <w:widowControl w:val="off"/>
        <w:spacing w:before="0" w:beforeAutospacing="0" w:after="0" w:afterAutospacing="0" w:line="283" w:lineRule="atLeast"/>
        <w:ind w:left="158" w:firstLine="70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Ожидаемые результаты в 2035 году: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2"/>
        <w:widowControl w:val="off"/>
        <w:numPr>
          <w:numId w:val="20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Доля молодых граждан, разделяющих и поддерживающих традиционные российские духовно-нравственные ценности, составит не менее 85 %;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3"/>
        <w:widowControl w:val="off"/>
        <w:numPr>
          <w:numId w:val="20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Доля молодых граждан, верящих в возможности самореализации в России, составит не менее 85 %;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3"/>
        <w:widowControl w:val="off"/>
        <w:numPr>
          <w:numId w:val="20"/>
          <w:ilvl w:val="0"/>
        </w:numPr>
        <w:spacing w:before="0" w:beforeAutospacing="0" w:after="0" w:afterAutospacing="0" w:line="283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Доля молодых людей, вовлеченных в</w:t>
      </w:r>
      <w:r>
        <w:rPr>
          <w:color w:val="000000"/>
          <w:sz w:val="28"/>
          <w:szCs w:val="28"/>
        </w:rPr>
        <w:t xml:space="preserve"> добровольческую и общественную деятельность, составит не ниже 45%.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</w:r>
      <w:r>
        <w:rPr>
          <w:rFonts w:ascii="Times New Roman" w:hAnsi="Times New Roman"/>
          <w:iCs/>
          <w:sz w:val="28"/>
          <w:szCs w:val="28"/>
        </w:rPr>
      </w:r>
      <w:r>
        <w:rPr>
          <w:rFonts w:ascii="Times New Roman" w:hAnsi="Times New Roman"/>
          <w:iCs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71" w:name="_Toc204259667"/>
      <w:r>
        <w:rPr>
          <w:rFonts w:ascii="Times New Roman" w:hAnsi="Times New Roman"/>
          <w:b/>
          <w:sz w:val="28"/>
          <w:szCs w:val="28"/>
        </w:rPr>
        <w:t xml:space="preserve">4.4. Культура</w:t>
      </w:r>
      <w:bookmarkEnd w:id="71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before="240"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Забайкальский край – регион с мультикультурным разнообразием. Согласно данным Всероссийской переписи населения 2020 года,</w:t>
      </w:r>
      <w:r>
        <w:rPr>
          <w:rFonts w:ascii="Times New Roman" w:hAnsi="Times New Roman" w:eastAsia="Calibri" w:cs="Times New Roman"/>
          <w:iCs/>
          <w:sz w:val="28"/>
          <w:szCs w:val="28"/>
        </w:rPr>
        <w:br/>
        <w:t xml:space="preserve">в регионе проживают представители 122 национальност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ей. По данным Управления Министерства юстиции Российской Федерации</w:t>
      </w:r>
      <w:r>
        <w:rPr>
          <w:rFonts w:ascii="Times New Roman" w:hAnsi="Times New Roman" w:eastAsia="Calibri" w:cs="Times New Roman"/>
          <w:iCs/>
          <w:sz w:val="28"/>
          <w:szCs w:val="28"/>
        </w:rPr>
        <w:br/>
        <w:t xml:space="preserve">по Забайкальскому краю, на 1 января 2023 года в крае официально зарегистрировано 26 общественных объединений граждан, из них: 9 общественных организаций, образованных по национальному призн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аку; 1 национально-культурная автономия; 16 общин КМНС.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pStyle w:val="1029"/>
        <w:shd w:val="clear" w:color="auto" w:fill="ffffff"/>
        <w:spacing w:before="0"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 территории Забайкальского края работают 10 национально-культурных центров (эвенкийской, казачьей, бурятской, </w:t>
      </w:r>
      <w:r>
        <w:rPr>
          <w:color w:val="000000"/>
          <w:szCs w:val="28"/>
        </w:rPr>
        <w:t xml:space="preserve">хамниганской</w:t>
      </w:r>
      <w:r>
        <w:rPr>
          <w:color w:val="000000"/>
          <w:szCs w:val="28"/>
        </w:rPr>
        <w:t xml:space="preserve"> культуры, культуры </w:t>
      </w:r>
      <w:r>
        <w:rPr>
          <w:color w:val="000000"/>
          <w:szCs w:val="28"/>
        </w:rPr>
        <w:t xml:space="preserve">семейских</w:t>
      </w:r>
      <w:r>
        <w:rPr>
          <w:color w:val="000000"/>
          <w:szCs w:val="28"/>
        </w:rPr>
        <w:t xml:space="preserve"> Забайкалья), деятельность которых направлена н</w:t>
      </w:r>
      <w:r>
        <w:rPr>
          <w:color w:val="000000"/>
          <w:szCs w:val="28"/>
        </w:rPr>
        <w:t xml:space="preserve">а сохранение и популяризацию традиционной культуры, народного творчества, создания оптимальных условий и всесторонней поддержки для изучения и восстановления традиционных праздников, обычаев и обрядов, промыслов, песенного и танцевального фольклора.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pStyle w:val="1029"/>
        <w:shd w:val="clear" w:color="auto" w:fill="ffffff"/>
        <w:spacing w:before="0" w:after="0"/>
        <w:ind w:firstLine="709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ГУК </w:t>
      </w:r>
      <w:r>
        <w:rPr>
          <w:color w:val="000000"/>
          <w:szCs w:val="28"/>
        </w:rPr>
        <w:t xml:space="preserve">«Учебно-методический центр культуры и народного творчества Забайкальского края» работает Музей нематериального культурного наследия «Живая старина Забайкалья». В основе разделов тематической структуры экспозиции лежат наиболее исследованные проявления </w:t>
      </w:r>
      <w:r>
        <w:rPr>
          <w:color w:val="000000"/>
          <w:szCs w:val="28"/>
        </w:rPr>
        <w:t xml:space="preserve">нема</w:t>
      </w:r>
      <w:r>
        <w:rPr>
          <w:color w:val="000000"/>
          <w:szCs w:val="28"/>
        </w:rPr>
        <w:t xml:space="preserve">териального культурного наследия казаков, эвенков, </w:t>
      </w:r>
      <w:r>
        <w:rPr>
          <w:color w:val="000000"/>
          <w:szCs w:val="28"/>
        </w:rPr>
        <w:t xml:space="preserve">семейских</w:t>
      </w:r>
      <w:r>
        <w:rPr>
          <w:color w:val="000000"/>
          <w:szCs w:val="28"/>
        </w:rPr>
        <w:t xml:space="preserve"> Забайкалья по направлениям: устное народное творчество, песенная и обрядово-праздничная культура, техники и технологии, связанные с традиционными ремеслами, хозяйственной и бытовой культурой. Цел</w:t>
      </w:r>
      <w:r>
        <w:rPr>
          <w:color w:val="000000"/>
          <w:szCs w:val="28"/>
        </w:rPr>
        <w:t xml:space="preserve">и и задачи по пропаганде истории и культуры народов Забайкальского края, формированию интереса у молодежи к этнической культуре, воспитанию у них уважения к историческому прошлому разных народов, чувства патриотизма, поддержке и развития бурятского языка в</w:t>
      </w:r>
      <w:r>
        <w:rPr>
          <w:color w:val="000000"/>
          <w:szCs w:val="28"/>
        </w:rPr>
        <w:t xml:space="preserve">ыполняет ГУК «Центр развития бурятской культуры Забайкальского края». В целях сохранения и развития самобытных культурных и национальных традиций сотрудниками центра проводятся этнографические экспедиции. Обработанные и расшифрованные экспедиционные матери</w:t>
      </w:r>
      <w:r>
        <w:rPr>
          <w:color w:val="000000"/>
          <w:szCs w:val="28"/>
        </w:rPr>
        <w:t xml:space="preserve">алы заносятся в каталог нематериального культурного наследия, базы данных.</w:t>
      </w:r>
      <w:r>
        <w:rPr>
          <w:color w:val="000000"/>
          <w:szCs w:val="28"/>
        </w:rPr>
      </w:r>
      <w:r>
        <w:rPr>
          <w:color w:val="000000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Показатель «Доля негосударственных организаций, проводивших культурно-массовые мероприятия за счет бюджета субъекта Российской Федерации, в общем числе организаций всех форм собстве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нности, проводивших культурно-массовые и просветительские мероприятия за счет средств субъекта Российской Федерации» в 2024 года составил 42 %.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В последние годы отмечались позитивные изменения в развитии культуры Забайкальского края: улучшалась материально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-техническая база учреждений отрасли, увеличилось количество проводимых культурно-досуговых и событийных мероприятий.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В 2019 году на начало реализации национального проекта «Культура» свыше 40% зданий учреждений культуры требовало проведение ремонта. 2019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- 2024 годы отремонтировано 108 зданий, построено 12 зданий. Всего объектов культуры 1307 ед. из них в нормативном состоянии 71,5 %.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Посещаемость организаций культуры в 2024 году возросла по сравнению с уровнем 2019 годов более чем на 38 % и составила 14 8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97тыс. посещений. К 2030 году ожидается повышение уровня востребованности учреждений культуры, прогнозируемое увеличение числа посещений организаций культуры.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 внедрением новых технических средств коммуникаций расширились возможности для обеспе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чения доступа к знаниям, информации и культурным ценностям. Число обращений к цифровым ресурсам на 31 декабря 2024 года составило более 1500 тыс. Прогнозируется дальнейшее увеличение числа обращений к цифровым ресурсам в сфере культуры Забайкальского края.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28"/>
          <w:szCs w:val="28"/>
        </w:rPr>
      </w:pP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Первоочередной проблемой отрасли культуры Забайкалья является неудовлетворительное состояние зданий и материально-технической оснащенности организаций культуры. Большая часть учреждений культуры края расположена в приспособленных помещениях, технические у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словия которых не отвечают установленным требованиям. Негативным фактором развития музейного дела в крае является дефицит фондовых и экспозиционных площадей. Нередко, имеющиеся в распоряжении музеев площади, не соответствуют установленным нормам хранения м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узейных предметов, что не способствует обеспечению безопасности и сохранности 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музейных предметов. Потребность в дополнительных фондовых площадях составляет более 2000 кв. м., экспозиционно-выставочных - более 6000 кв. м. В ряде музеев не обеспечены необход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имые условия безопасности и сохранности музейных предметов. 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28"/>
          <w:szCs w:val="28"/>
        </w:rPr>
      </w:pP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В крае нет собственной базы для реставрации музейных предметов. Только в Забайкальском краевом краеведческом музее имеется аттестованный специалист-реставратор и начата работа по реставрации музе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йных предметов. Большинство музеев не имеет оборудования для создания цифровых копий музейных предметов.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Cs/>
          <w:iCs/>
          <w:sz w:val="28"/>
          <w:szCs w:val="28"/>
        </w:rPr>
      </w:pP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Библиотеки Забайкальского края являются незаменимым социально-коммуникативным институтом, призванным обеспечить возможности для самореализации и развит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ия личности. Вместе с тем, в развитии библиотечного дела в Забайкальском крае существует ряд проблем, требующих незамедлительного решения. Ключевые проблемы развития общедоступных библиотек Забайкальского края обусловлены несоответствием между текущим сост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оянием библиотек и социальным запросом населения на библиотечное обслуживание в модельных стандартах. Существует острая проблема комплектования книжных фондов, стабильной оплаты интернет-трафика, цифровизации библиотечных процессов.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Указом Президента Российской Федерации от 7 мая 2024 года № 309 «О национальных целях и стратегических задачах развития Российской Федерации на период до 2030 года и на перспективу до 2036 года» определены, в том числе цели «Реализация потенциала каждого ч</w:t>
      </w:r>
      <w:r>
        <w:rPr>
          <w:rFonts w:ascii="Times New Roman" w:hAnsi="Times New Roman" w:eastAsia="Calibri" w:cs="Times New Roman"/>
          <w:bCs/>
          <w:iCs/>
          <w:sz w:val="28"/>
          <w:szCs w:val="28"/>
        </w:rPr>
        <w:t xml:space="preserve">еловека, развитие его талантов, воспитание патриотичной и социально ответственной личности и «Комфортная среда для жизни». В связи с этим на современном этапе развития культуры приоритетными направлениями станут: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сохранение единого культурного пространства</w:t>
      </w:r>
      <w:r>
        <w:rPr>
          <w:rFonts w:ascii="Times New Roman" w:hAnsi="Times New Roman"/>
          <w:bCs/>
          <w:iCs/>
          <w:sz w:val="28"/>
          <w:szCs w:val="28"/>
        </w:rPr>
        <w:t xml:space="preserve"> на основе традиционных российских духовно-нравственных ценностей как фактора национальной безопасности и территориальной целостности России;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формирование и реализация ценностно ориентированной государственной культурной политики, предусматривающей распрос</w:t>
      </w:r>
      <w:r>
        <w:rPr>
          <w:rFonts w:ascii="Times New Roman" w:hAnsi="Times New Roman"/>
          <w:bCs/>
          <w:iCs/>
          <w:sz w:val="28"/>
          <w:szCs w:val="28"/>
        </w:rPr>
        <w:t xml:space="preserve">транение традиционных для российского общества ценностей;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обеспечение максимально доступности для широких слоев населения лучших образцов культуры и искусства;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стимулирование повышения качества и разнообразия культурной жизни в малых, удаленных, сельских н</w:t>
      </w:r>
      <w:r>
        <w:rPr>
          <w:rFonts w:ascii="Times New Roman" w:hAnsi="Times New Roman"/>
          <w:bCs/>
          <w:iCs/>
          <w:sz w:val="28"/>
          <w:szCs w:val="28"/>
        </w:rPr>
        <w:t xml:space="preserve">аселенных пункта, поддержка их культурной инфраструктуры;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создание условий для творческой самореализации граждан, культурно-просветительской деятельности, организация внешкольного художественного образования и культурного досуга;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цифровая трансформация сфе</w:t>
      </w:r>
      <w:r>
        <w:rPr>
          <w:rFonts w:ascii="Times New Roman" w:hAnsi="Times New Roman"/>
          <w:bCs/>
          <w:iCs/>
          <w:sz w:val="28"/>
          <w:szCs w:val="28"/>
        </w:rPr>
        <w:t xml:space="preserve">ры культуры, усиление присутствия учреждений культуры в цифровой среде;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развитие гастрольной деятельности учреждений культуры;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содействие развитию креативных (творческих) индустрий;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повышение социального статуса работников культуры (уровень доходов, общест</w:t>
      </w:r>
      <w:r>
        <w:rPr>
          <w:rFonts w:ascii="Times New Roman" w:hAnsi="Times New Roman"/>
          <w:bCs/>
          <w:iCs/>
          <w:sz w:val="28"/>
          <w:szCs w:val="28"/>
        </w:rPr>
        <w:t xml:space="preserve">венное признание);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совершенствование системы подготовки кадров в сфере культуры; обеспечение межведомственного, межуровневого и межрегионального взаимодействия в реализации государственной культурной политики;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модернизация материально-технической базы учре</w:t>
      </w:r>
      <w:r>
        <w:rPr>
          <w:rFonts w:ascii="Times New Roman" w:hAnsi="Times New Roman"/>
          <w:bCs/>
          <w:iCs/>
          <w:sz w:val="28"/>
          <w:szCs w:val="28"/>
        </w:rPr>
        <w:t xml:space="preserve">ждений культуры.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Для реализации приоритетной задачи - воспитание населения, в том числе подрастающего поколения, на основе исторических и национально-культурных традиций – необходимо осуществление широкой просветительской деятельности по истории и культуре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России, Забайкальского края, особенно среди детей и молодежи, с использованием новых технологий и средств массовых коммуникаций, создание качественных разнообразных культурно-досуговых продуктов для укрепления государственного единства и целостности Росси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йской Федерации, организация культурно-просветительских программ для населения (школьников), проживающего в удаленных населенных пунктах края.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 целью сохранения и развития исторических и национально-культурных традиций народов Забайкальского края необходи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мо поддерживать творческие инициативы в отношении традиционных культур и субкультур (этнических, конфессиональных, возрастных, социальных) и включение их в активную творческую жизнь региона, формирование положительного общественного мнения и поднятие прест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ижа лучших образцов народного творчества Забайкальского края, проведение фестивалей, выставок, гастролей,  как на территории края, так и на территории Дальнего Востока, что позволит также сформировать уникальный образ культуры Забайкальского края. 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Создани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е модельных библиотек, строительство новых музеев, детских школ искусств позволит создать условия для обеспечения доступности культурными благами и увеличения охвата населения, в том числе доступности для людей с инвалидностью.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20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Ожидаемые результаты в 2035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году: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1) охват населения культурными и информационными услугами - 90%;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2) увеличение доли зданий учреждений культуры, находящихся в нормативном состоянии не ниже 75,4%.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72" w:name="_Toc204259668"/>
      <w:r>
        <w:rPr>
          <w:rFonts w:ascii="Times New Roman" w:hAnsi="Times New Roman"/>
          <w:b/>
          <w:sz w:val="28"/>
          <w:szCs w:val="28"/>
        </w:rPr>
        <w:t xml:space="preserve">4.5. Физическая культура и спорт</w:t>
      </w:r>
      <w:bookmarkEnd w:id="72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1 января 2025 года физической культурой и спортом</w:t>
      </w:r>
      <w:r>
        <w:rPr>
          <w:rFonts w:ascii="Times New Roman" w:hAnsi="Times New Roman" w:cs="Times New Roman"/>
          <w:sz w:val="28"/>
          <w:szCs w:val="28"/>
        </w:rPr>
        <w:t xml:space="preserve"> в Забайкальском крае занимается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517,9 тыс. человек (в 2020 году – 336,5 тыс. человек, увеличение составляет 20,2 %. 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состоянию на </w:t>
      </w:r>
      <w:r>
        <w:rPr>
          <w:rFonts w:ascii="Times New Roman" w:hAnsi="Times New Roman" w:cs="Times New Roman"/>
          <w:sz w:val="28"/>
          <w:szCs w:val="28"/>
        </w:rPr>
        <w:t xml:space="preserve">1 января 2025 года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на территории Забайкальского края 2 379 объектов спорта. </w:t>
      </w:r>
      <w:r>
        <w:rPr>
          <w:rFonts w:ascii="Times New Roman" w:hAnsi="Times New Roman" w:cs="Times New Roman"/>
          <w:sz w:val="28"/>
          <w:szCs w:val="28"/>
        </w:rPr>
        <w:t xml:space="preserve">Уровень обеспеченности граждан спортивными сооружениями исходя из единовременной пропускной способности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Забайкальском крае составляет 48,00 %. В настоящее время существует острая необходимость в во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зведении модульных спортивных объектов.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В 2024 году спортсмены участвовали в 643 соревнованиях межрегионального, всероссийского и международного уровней и завоевали 1079 медалей, из них 422 – золота, 322 - серебра, 335 - бронзы. Наибольшее количество меда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лей принесли лучники, также отличились в тяжелой атлетике, вольной борьбе, боксе, лёгкой атлетике, настольном теннисе. спортивном ориентировании, шахматах.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Целью направления является сохранение населения, укрепление здоровья и повышение благополучия людей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поддержка семей.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83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Формирование системы мотивации различных категорий населения к физическому развитию и спортивному образу жизни;</w:t>
      </w:r>
      <w:r>
        <w:rPr>
          <w:rFonts w:ascii="Times New Roman" w:hAnsi="Times New Roman"/>
          <w:color w:val="000000" w:themeColor="text1"/>
          <w:sz w:val="28"/>
          <w:szCs w:val="28"/>
        </w:rPr>
      </w:r>
      <w:r>
        <w:rPr>
          <w:rFonts w:ascii="Times New Roman" w:hAnsi="Times New Roman"/>
          <w:color w:val="000000" w:themeColor="text1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создание условий для развития спорта всех возрастных категорий населения;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адап</w:t>
      </w:r>
      <w:r>
        <w:rPr>
          <w:rFonts w:ascii="Times New Roman" w:hAnsi="Times New Roman"/>
          <w:sz w:val="28"/>
          <w:szCs w:val="28"/>
        </w:rPr>
        <w:t xml:space="preserve">тивной физической культуры и спорта, физической реабилитации ветеранов и участников СВО и лиц с ограниченными возможностями здоровья и инвалидов;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инфраструктуры физической культуры и спорта;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развитие базовых видов спорта (приказ Министерства спорт</w:t>
      </w:r>
      <w:r>
        <w:rPr>
          <w:rFonts w:ascii="Times New Roman" w:hAnsi="Times New Roman"/>
          <w:sz w:val="28"/>
          <w:szCs w:val="28"/>
        </w:rPr>
        <w:t xml:space="preserve">а Российской Федерации от 08 октября 2024 года № 996 «Об утверждении перечня базовых видов спорта»);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условий для успешного выступления сборных команд края на всероссийских и международных спортивных соревнованиях и для развития спорта высших достижений;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8"/>
          <w:ilvl w:val="0"/>
        </w:numPr>
        <w:spacing w:after="0" w:line="283" w:lineRule="atLeast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совершенствование кадрового обеспечения в сфере физической культуры, спорта и спортивной ме</w:t>
      </w:r>
      <w:r>
        <w:rPr>
          <w:rFonts w:ascii="Times New Roman" w:hAnsi="Times New Roman"/>
          <w:sz w:val="28"/>
          <w:szCs w:val="28"/>
        </w:rPr>
        <w:t xml:space="preserve">дицины;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приоритетной задачи - формирование системы мотивации различных категорий населения к физическому развитию и спортивному образу жизни – необходимы продвижение ценностей физической культуры и спорта, здорового образа жизни, реализация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Всероссийского физкультурно-спортивного комплекса «Готов к труду и обороне», пропаганда здорового образа жизни, сбережение здоровья и привлечение к физической активности граждан старшего возраста, путем организации бесплатных занятий в фитнес клубах в рамк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 реализации регионального проекта «Серебряный Фитнес».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целью создания условий для развития спорта всех возрастных категорий населения необходимо создание спортивных клубов по месту жительства в Забайкальском крае, в том числе для работы с гражданами ст</w:t>
      </w:r>
      <w:r>
        <w:rPr>
          <w:rFonts w:ascii="Times New Roman" w:hAnsi="Times New Roman" w:cs="Times New Roman"/>
          <w:sz w:val="28"/>
          <w:szCs w:val="28"/>
        </w:rPr>
        <w:t xml:space="preserve">аршего возраста, увеличение числа массовых физкультурных, спортивных мероприятий. Важна поддержка со стороны государства: детско-юношеских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спортивно-адаптивных школ, отделений и групп по адаптивному спорту в учреждениях дополнительного образования детей, о</w:t>
      </w:r>
      <w:r>
        <w:rPr>
          <w:rFonts w:ascii="Times New Roman" w:hAnsi="Times New Roman" w:cs="Times New Roman"/>
          <w:sz w:val="28"/>
          <w:szCs w:val="28"/>
        </w:rPr>
        <w:t xml:space="preserve">существляющих деятельность в области физической культуры и спорта; центров спортивной подготовки, осуществляющих подготовку спортсменов высокого класса по адаптивному спорту, поддержка физкультурно-спортивных клубов инвалидов и других физкультурно-спортивн</w:t>
      </w:r>
      <w:r>
        <w:rPr>
          <w:rFonts w:ascii="Times New Roman" w:hAnsi="Times New Roman" w:cs="Times New Roman"/>
          <w:sz w:val="28"/>
          <w:szCs w:val="28"/>
        </w:rPr>
        <w:t xml:space="preserve">ых организаций, осуществляющих работу с инвалидами и лицами с ограниченными возможностями здоровья, в проведении спортивных мероприятий с участием лиц с ограниченными возможностями здоровья, привлечение к занятиям физической культурой и спортом ветеранов и</w:t>
      </w:r>
      <w:r>
        <w:rPr>
          <w:rFonts w:ascii="Times New Roman" w:hAnsi="Times New Roman" w:cs="Times New Roman"/>
          <w:sz w:val="28"/>
          <w:szCs w:val="28"/>
        </w:rPr>
        <w:t xml:space="preserve"> участников СВО.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спортивных сооружений, реконструкция, капитальный ремонт и оснащение спортивным инвентарем спортивных сооружений; создание в общеобразовательных организациях, расположенных в сельской местности, условий для занятий физической</w:t>
      </w:r>
      <w:r>
        <w:rPr>
          <w:rFonts w:ascii="Times New Roman" w:hAnsi="Times New Roman" w:cs="Times New Roman"/>
          <w:sz w:val="28"/>
          <w:szCs w:val="28"/>
        </w:rPr>
        <w:t xml:space="preserve"> культурой и спортом, строительство универсальных спортивных залов, стадионов, бассейнов позволит создать условия для обеспечения доступности культурными благами и увеличения охвата населения, в том числе доступности для людей с инвалидностью, также будет </w:t>
      </w:r>
      <w:r>
        <w:rPr>
          <w:rFonts w:ascii="Times New Roman" w:hAnsi="Times New Roman" w:cs="Times New Roman"/>
          <w:sz w:val="28"/>
          <w:szCs w:val="28"/>
        </w:rPr>
        <w:t xml:space="preserve">способствовать созданию условий для ведения здорового образа жизни, систематических занятий физической культурой и спортом.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доля граждан, систематически занимающихся физической культурой и спортом - 73%;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участие в мероприя</w:t>
      </w:r>
      <w:r>
        <w:rPr>
          <w:rFonts w:ascii="Times New Roman" w:hAnsi="Times New Roman"/>
          <w:sz w:val="28"/>
          <w:szCs w:val="28"/>
        </w:rPr>
        <w:t xml:space="preserve">тиях по национальным видам </w:t>
      </w:r>
      <w:r>
        <w:rPr>
          <w:rFonts w:ascii="Times New Roman" w:hAnsi="Times New Roman"/>
          <w:sz w:val="28"/>
          <w:szCs w:val="28"/>
        </w:rPr>
        <w:br/>
        <w:t xml:space="preserve">спорта – 7 500 человек;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детско-юношескими спортивными школами, спортивными олимпийского резерва - из расчета одно учреждение на 10 </w:t>
      </w:r>
      <w:r>
        <w:rPr>
          <w:rFonts w:ascii="Times New Roman" w:hAnsi="Times New Roman"/>
          <w:sz w:val="28"/>
          <w:szCs w:val="28"/>
        </w:rPr>
        <w:t xml:space="preserve">тыс</w:t>
      </w:r>
      <w:r>
        <w:rPr>
          <w:rFonts w:ascii="Times New Roman" w:hAnsi="Times New Roman"/>
          <w:sz w:val="28"/>
          <w:szCs w:val="28"/>
        </w:rPr>
        <w:t xml:space="preserve">, человек населения;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снижение доли объектов спорта, находящихся в аварийном состоянии или требующих капитального ремонта, - не менее чем в 3 раза;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организация и проведение не менее 5 спортивных событий международного уровня на территории края (нарастающим итогом).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color w:val="000000" w:themeColor="text1"/>
        </w:rPr>
      </w:pPr>
      <w:bookmarkStart w:id="73" w:name="_Toc204259669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4.6. Обеспе</w:t>
      </w:r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чение безопасности жизнедеятельности населения</w:t>
      </w:r>
      <w:bookmarkEnd w:id="73"/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/>
          <w:sz w:val="28"/>
          <w:szCs w:val="28"/>
        </w:rPr>
      </w:pPr>
      <w:r>
        <w:rPr>
          <w:rFonts w:ascii="Times New Roman" w:hAnsi="Times New Roman" w:eastAsia="Calibri" w:cs="Times New Roman"/>
          <w:i/>
          <w:sz w:val="28"/>
          <w:szCs w:val="28"/>
        </w:rPr>
      </w:r>
      <w:r>
        <w:rPr>
          <w:rFonts w:ascii="Times New Roman" w:hAnsi="Times New Roman" w:eastAsia="Calibri" w:cs="Times New Roman"/>
          <w:i/>
          <w:sz w:val="28"/>
          <w:szCs w:val="28"/>
        </w:rPr>
      </w:r>
      <w:r>
        <w:rPr>
          <w:rFonts w:ascii="Times New Roman" w:hAnsi="Times New Roman" w:eastAsia="Calibri" w:cs="Times New Roman"/>
          <w:i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Важным фактором качества жизни населения является окружающая среда: уровень атмосферной, гидротехнической, пожарной, транспортной и общественной безопасности.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Источниками природных чрезвычайных ситуаций на те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рритории региона являются: опасные метеорологические явления (ущерб 2021 года – 67678,47 тыс. руб.); весеннее половодье (2021 год: ущерб – 6,5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млдр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руб.; пострадавших – 15254 чел.; 2022 год: ущерб – 2,2 млрд руб., пострадавших –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7245 человек); природные по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жары (2019 год: ущерб – 2067768,62 тыс.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руб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; пострадавших – 898 человек).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Наибольшее количество техногенных чрезвычайных ситуаций обусловлено пожарами в жилом секторе, авариями на железнодорожном транспорте, крупными автомобильными авариями.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К основным про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блемам общественной безопасности относятся: высокий уровень корыстных преступлений и «рецидивной преступности»; криминальная активность несовершеннолетних и молодежи; тенденция к росту скрытой алкоголизации и наркотизации населения, а также связанные с ним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 проявления преступности.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 итогам c 2020 по 2024 годы количество зарегистрированных преступлений неукло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нно уменьшается (с 22 703 до 18 341). Вместе с тем, на территории Забайкальского края по итогам 6 месяцев 2025 года отмечается увеличение количества зарегистрированных преступлений на 8,5 % (с 8 860 до 9 611 по сравнению с аналогичным периодом 2024 года). 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Количество преступлений, совершенных ранее судимыми, продолжает снижаться с 4 799 в 2020 году до 3037 в 2024 году. Это связано и с уходом ранее судимых на СВО, и адаптацией к изменившимся условиям после выхода из мест лишения свободы. 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Количество преступл</w:t>
      </w:r>
      <w:r>
        <w:rPr>
          <w:rFonts w:ascii="Times New Roman" w:hAnsi="Times New Roman" w:eastAsia="Calibri" w:cs="Times New Roman"/>
          <w:sz w:val="28"/>
          <w:szCs w:val="28"/>
        </w:rPr>
        <w:t xml:space="preserve">ений, совершаемых в состоянии алкогольного опьянения, постепенно уменьшается, но по-прежнему остается весомым. С 6 297 в 2020 году до 3 275 в 2024 году. Уменьшение связано с принятыми ограничительными нормативными актами, популяризацией здорового образа жи</w:t>
      </w:r>
      <w:r>
        <w:rPr>
          <w:rFonts w:ascii="Times New Roman" w:hAnsi="Times New Roman" w:eastAsia="Calibri" w:cs="Times New Roman"/>
          <w:sz w:val="28"/>
          <w:szCs w:val="28"/>
        </w:rPr>
        <w:t xml:space="preserve">зни и физической культуры.  Под воздействием алкоголя за 6 месяцев 2025 года совершено 1397 преступлений (­21,5 %; АППГ - 1780).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На территории Забайкальского края количество уголовно наказуемых деяний, совершаемых несовершеннолетними, неуклонно сокращается</w:t>
      </w:r>
      <w:r>
        <w:rPr>
          <w:rFonts w:ascii="Times New Roman" w:hAnsi="Times New Roman" w:eastAsia="Calibri" w:cs="Times New Roman"/>
          <w:sz w:val="28"/>
          <w:szCs w:val="28"/>
        </w:rPr>
        <w:t xml:space="preserve">. Это результат системной работы по профилактике безнадзорности, правонарушений, организации отдыха и занятости подростков, которая включает комплекс мер, направленных на выявление причин и условий, способствующих правонарушениям и осуществлению индивидуал</w:t>
      </w:r>
      <w:r>
        <w:rPr>
          <w:rFonts w:ascii="Times New Roman" w:hAnsi="Times New Roman" w:eastAsia="Calibri" w:cs="Times New Roman"/>
          <w:sz w:val="28"/>
          <w:szCs w:val="28"/>
        </w:rPr>
        <w:t xml:space="preserve">ьно-профилактической работы, как с несовершеннолетними, так и с семьями, находящимися в социально-опасном положении. В Забайкальском крае осуществляют свою деятельность 38 комиссий по делам несовершеннолетних и защите их прав муниципального уровня, которые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имеют широкий диапазон правовых мер по оказанию помощи в профилактике безнадзорности и правонарушений несовершеннолетних.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период летних каникул проводятся межведомственные рейды, проверяются места концентрации несовершеннолетних. Систематически по месту</w:t>
      </w:r>
      <w:r>
        <w:rPr>
          <w:rFonts w:ascii="Times New Roman" w:hAnsi="Times New Roman" w:eastAsia="Calibri" w:cs="Times New Roman"/>
          <w:sz w:val="28"/>
          <w:szCs w:val="28"/>
        </w:rPr>
        <w:t xml:space="preserve"> жительства посещаются несовершеннолетние, находящиеся в социально опасном положении. С участием всех заинтересованных служб и ведомств в крае проводятся комплексные профилактические мероприятия: «Несовершеннолетние», «Все дети в школу», «Улица», «Подросто</w:t>
      </w:r>
      <w:r>
        <w:rPr>
          <w:rFonts w:ascii="Times New Roman" w:hAnsi="Times New Roman" w:eastAsia="Calibri" w:cs="Times New Roman"/>
          <w:sz w:val="28"/>
          <w:szCs w:val="28"/>
        </w:rPr>
        <w:t xml:space="preserve">к», позволившие сократить количество преступлений и административных правонарушений, совершаемых несовершеннолетним в период каникул.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Несмотря на принимаемые федеральными, государственными и органами исполнительной власти Забайкальского края меры, сохраняе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тся негативная тенденция увеличения противоправных деяний, совершенных с использованием информационно-телекоммуникационных технологий, с 3250 в 2020 году до 6 739. Увеличение – результат постоянного совершенствования и изобретения мошенниками схем обмана г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раждан.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Количество преступлений, связанных с незаконным оборотом наркотических средств, психотропных и сильнодействующих веществ, неустойчиво, а количество преступлений, связанных со сбытом наркотиков, не снижается. Одним из факторов распространения сбыта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наркотиков и наркомании на территории Забайкальского края является наличие собственной сырьевой базы – произрастание дикорастущей конопли, очаги произрастания которой распространены в 31 из 34 муниципальных районов Забайкальского края, за исключением 3-х с</w:t>
      </w:r>
      <w:r>
        <w:rPr>
          <w:rFonts w:ascii="Times New Roman" w:hAnsi="Times New Roman" w:eastAsia="Calibri" w:cs="Times New Roman"/>
          <w:sz w:val="28"/>
          <w:szCs w:val="28"/>
        </w:rPr>
        <w:t xml:space="preserve">еверных районов.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Количество зарегистрированных дорожно-транспортных происшествий продолжает неуклонно снижаться с 1197 в 2020 году до 965 в 2024 году. Большая часть ДТП совершается по вине водителей, из них почти треть в состоянии алкогольного опьянения.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Таблица 20 – Данные по отдельным видам преступлений на территории Забайкальского края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tbl>
      <w:tblPr>
        <w:tblStyle w:val="1033"/>
        <w:tblW w:w="0" w:type="auto"/>
        <w:tblLayout w:type="fixed"/>
        <w:tblLook w:val="04A0" w:firstRow="1" w:lastRow="0" w:firstColumn="1" w:lastColumn="0" w:noHBand="0" w:noVBand="1"/>
      </w:tblPr>
      <w:tblGrid>
        <w:gridCol w:w="3367"/>
        <w:gridCol w:w="1241"/>
        <w:gridCol w:w="1241"/>
        <w:gridCol w:w="1241"/>
        <w:gridCol w:w="1241"/>
        <w:gridCol w:w="1241"/>
      </w:tblGrid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Наименование показателя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2020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2023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2024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  <w:p>
            <w:pPr>
              <w:spacing w:after="57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507"/>
        </w:trPr>
        <w:tblPrEx/>
        <w:tc>
          <w:tcPr>
            <w:tcW w:w="3367" w:type="dxa"/>
            <w:vMerge w:val="restart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Число зарегистрированных преступлений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szCs w:val="24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22703</w:t>
            </w:r>
            <w:r>
              <w:rPr>
                <w:color w:val="000000" w:themeColor="text1"/>
                <w:szCs w:val="24"/>
                <w:lang w:val="ru-RU"/>
              </w:rPr>
            </w:r>
            <w:r>
              <w:rPr>
                <w:color w:val="000000" w:themeColor="text1"/>
                <w:szCs w:val="24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szCs w:val="24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21707</w:t>
            </w:r>
            <w:r>
              <w:rPr>
                <w:color w:val="000000" w:themeColor="text1"/>
                <w:szCs w:val="24"/>
                <w:lang w:val="ru-RU"/>
              </w:rPr>
            </w:r>
            <w:r>
              <w:rPr>
                <w:color w:val="000000" w:themeColor="text1"/>
                <w:szCs w:val="24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szCs w:val="24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20816</w:t>
            </w:r>
            <w:r>
              <w:rPr>
                <w:color w:val="000000" w:themeColor="text1"/>
                <w:szCs w:val="24"/>
                <w:lang w:val="ru-RU"/>
              </w:rPr>
            </w:r>
            <w:r>
              <w:rPr>
                <w:color w:val="000000" w:themeColor="text1"/>
                <w:szCs w:val="24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szCs w:val="24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18441</w:t>
            </w:r>
            <w:r>
              <w:rPr>
                <w:color w:val="000000" w:themeColor="text1"/>
                <w:szCs w:val="24"/>
                <w:lang w:val="ru-RU"/>
              </w:rPr>
            </w:r>
            <w:r>
              <w:rPr>
                <w:color w:val="000000" w:themeColor="text1"/>
                <w:szCs w:val="24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szCs w:val="24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18341</w:t>
            </w:r>
            <w:r>
              <w:rPr>
                <w:color w:val="000000" w:themeColor="text1"/>
                <w:szCs w:val="24"/>
                <w:lang w:val="ru-RU"/>
              </w:rPr>
            </w:r>
            <w:r>
              <w:rPr>
                <w:color w:val="000000" w:themeColor="text1"/>
                <w:szCs w:val="24"/>
                <w:lang w:val="ru-RU"/>
              </w:rPr>
            </w:r>
          </w:p>
        </w:tc>
      </w:tr>
      <w:tr>
        <w:trPr>
          <w:trHeight w:val="507"/>
        </w:trPr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преступности на 100 тыс. населения в т. ч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2130,2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2060,5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1994,9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1858,2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1863,2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>
          <w:trHeight w:val="458"/>
        </w:trPr>
        <w:tblPrEx/>
        <w:tc>
          <w:tcPr>
            <w:tcW w:w="3367" w:type="dxa"/>
            <w:vMerge w:val="restart"/>
            <w:noWrap w:val="false"/>
            <w:textDirection w:val="lrTb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х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1874,1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1795,8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 w:eastAsia="en-US"/>
              </w:rPr>
              <w:t xml:space="preserve">1752,5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1738,5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>
          <w:trHeight w:val="458"/>
        </w:trPr>
        <w:tblPrEx/>
        <w:tc>
          <w:tcPr>
            <w:tcW w:w="3367" w:type="dxa"/>
            <w:vMerge w:val="restart"/>
            <w:noWrap w:val="false"/>
            <w:textDirection w:val="lrTb"/>
          </w:tcPr>
          <w:p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Россия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х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1371,3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1351,2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 w:eastAsia="en-US"/>
              </w:rPr>
              <w:t xml:space="preserve">1103,5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vMerge w:val="restart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1307,7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смертей в результате преступлений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406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434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391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404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397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поставленных на учет ИТ-преступлений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3250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3366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3794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4967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6739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>
          <w:trHeight w:val="1585"/>
        </w:trPr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Преступления, связанные с незаконным оборотом наркотических средств, психотропных и сильнодействующих веществ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1511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1636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1773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1826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1533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Преступления, связанные со сбытом наркотиков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250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513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727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969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845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преступлений,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совершенных ранее судимыми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4799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4819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4428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4063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3037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преступлений, совершенных в состоянии алкогольного опьянения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6297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5718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4872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4169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3275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преступлений, совершенных несовершеннолетними и при их соучастии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733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587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634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554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366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pStyle w:val="1155"/>
              <w:spacing w:line="235" w:lineRule="auto"/>
              <w:ind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 xml:space="preserve">Удельный вес преступлений, совершенных несовершеннолетними</w:t>
            </w:r>
            <w:r>
              <w:rPr>
                <w:szCs w:val="24"/>
                <w:lang w:val="ru-RU"/>
              </w:rPr>
            </w:r>
            <w:r>
              <w:rPr>
                <w:szCs w:val="24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5,7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4,6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5,0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4,9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3,9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  <w:tr>
        <w:trPr/>
        <w:tblPrEx/>
        <w:tc>
          <w:tcPr>
            <w:tcW w:w="3367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Зарегистрировано дорожно-транспортных происшествий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1197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949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929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972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  <w:tc>
          <w:tcPr>
            <w:tcW w:w="1241" w:type="dxa"/>
            <w:noWrap w:val="false"/>
            <w:textDirection w:val="lrTb"/>
            <w:vAlign w:val="center"/>
          </w:tcPr>
          <w:p>
            <w:pPr>
              <w:pStyle w:val="1155"/>
              <w:spacing w:line="235" w:lineRule="auto"/>
              <w:ind w:firstLine="0"/>
              <w:jc w:val="center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965</w:t>
            </w:r>
            <w:r>
              <w:rPr>
                <w:color w:val="000000" w:themeColor="text1"/>
                <w:lang w:val="ru-RU"/>
              </w:rPr>
            </w:r>
            <w:r>
              <w:rPr>
                <w:color w:val="000000" w:themeColor="text1"/>
                <w:lang w:val="ru-RU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Забайкальский край весьма неоднороден в религиозном плане. Наряду с традиционными конфессиями – православием, исламом, буддизмом и иудаизмом заметную роль играют новые или нетрадицио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нные религиозные движения. При абсолютном преобладании православной конфессиональной ориентации религия в Забайкальском крае не является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конфликтогенным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фактором. В 2022 году на территории региона не было случаев ущемления прав по религиозному признаку.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своим ключевым характеристикам ситуация в сфере межэтнических и межконфессиональных отношений в Забайкальском крае не претерпела принципиальных изменений и остается стабильной. Население края демонстрирует высокую степень межэтнической и межконфессиональн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ой толерантности. Нет случаев ксенофобии, межэтнических конфликтов, конфликтов на религиозной почве. Интенсивные миграционные процессы не оказывают деструктивного влияния на общественную безопасность.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Таким образом, в настоящий момент мониторинг политическ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их, социально-экономических и иных процессов, оказывающих влияние на ситуацию в области межнациональных и межконфессиональных отношений на территории региона, свидетельствует о стабильной обстановке. Контингентов риска (экстремистски настроенных молодежных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группировок, радикально ориентированных антирелигиозных групп и общин), занимающихся распространение идей экстремистского толка, не выявлено.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В декабре 2022 года в Забайкальском крае утверждена государственная программа «Реализация национальной политики и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развитие институтов гражданского общества в Забайкальском крае».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  <w:t xml:space="preserve">Целью направления является создание в Забайкальском крае привлекательной среды для проживания человека и ведения бизнеса, благодаря обеспечению высокого уровня безопасности жизнедеятельност</w:t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  <w:t xml:space="preserve">и.</w:t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1) развитие системы предупреждения чрезвычайных ситуаций природного и техногенного характера и повышение уровня готовности к ним;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2) повышение эффективности защиты территории и населения от чрезвычайных ситуаций, обеспечение пожарной безопасности и безопас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ности людей на водных объектах;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3) снижение криминогенности и уровня преступности, в том числе рецидивной;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4) профилактика преступлений и иных правонарушений в общественных местах и населенных пунктах;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5) сокращение уровня наркомании и связанной с ней прес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тупности;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6) повышение безопасности дорожного движения.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Ключевыми направлениями реализации безопасности жизнедеятельности являются: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построение (совершенствование) органами исполнительной власти Забайкальского края и органами местного самоуправления региона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льной системы обеспечения общественной безопасности в долгосрочной перспективе. Система должна быть нацелена на противодействие административным правонарушениям и преступлениям, а также на неукоснительное выполнение на территории субъекта комплекса мер, на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правленного на снижение уровня криминализации общественных отношений;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повышение эффективности взаимодействия правоохранительных органов, органов исполнительной власти области и институтов гражданского общества в целях устранения причин и условий правонарушений;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совершенствование профилактики незаконного оборота наркотических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 средств, психотропных и сильнодействующих веществ, а также незаконного оборота оружия;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повышение эффективности профилактики безнадзорности, социальной помощи и реабилитации несовершеннолетних лиц с различными формами и степенью девиации;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работа по профила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ктике преступлений и иных правонарушений в наиболее напряженных в криминогенном отношении районах и других общественных местах;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формирование на территории Забайкальского края оптимального количества служебных помещений органов внутренних дел для работы уча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стковых уполномоченных полиции и реализация органами местного самоуправления полномочий о внесении в региональные нормативы градостроительного проектирования требований по обеспечению служебными и жилыми помещениями участковых уполномоченных полиции;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повыш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ение безопасности дорожного движения;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усиление профилактических мероприятий по защите населения и территории от природных и техногенных чрезвычайных ситуаций;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усиление мероприятий, в том числе посредством дополнительного финансирования, направленные на соц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иальную адаптацию граждан, освободившихся из мест лишения свободы;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разработка и реализация региональных программ помощи по трудоустройству и профессиональной переподготовке таких граждан, а также поддержка коммерческих и некоммерческих общественных организ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аций, работающих с указанным контингентом;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усиление молодежной политики, пропаганда здорового образа жизни, вовлечение молодых людей в спортивную, культурно-образовательную и волонтерскую деятельность;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работа по внедрению аппаратно-программного комплекса «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Безопасный город», предназначенного для проведения дистанционного визуального круглосуточного мониторинга за общественной обстановкой и способствующего своевременному выявлению и фиксации неправомерных действий, принятия оперативных мер к их пресечению.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Ож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идаемые результаты в 2035 году: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1) снижение уровня преступности (количества зарегистрированных преступлений) до 2279,9 на 100 тыс. населения;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2) сокращение показателя социального неблагополучия до 0,9 балла;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3) сокращение смертности от внешних причин до 60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,9 на 100 тыс. населения;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4) социальный риск: число лиц, погибших в ДТП, на 100 тыс. населения – менее 6,3 чел.;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5) транспортный риск: число лиц, погибших в ДТП, на 10 тыс. транспортных средств – менее 1,6 чел.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74" w:name="_Toc204259670"/>
      <w:r>
        <w:rPr>
          <w:rFonts w:ascii="Times New Roman" w:hAnsi="Times New Roman"/>
          <w:b/>
          <w:sz w:val="28"/>
          <w:szCs w:val="28"/>
        </w:rPr>
        <w:t xml:space="preserve">4.7. Жилищное строительство</w:t>
      </w:r>
      <w:bookmarkEnd w:id="74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Общий совокупный объем ввода жилья на территории Забайкальского края в период с 2013 по 2021 год составил 2,23 млн кв. м. Динамика ввода жилых помещений в Забайкальском крае разнонаправленна, сильно зависит от реализации госуда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рственных проектов, которые оказывали существенную поддержку многоквартирному жилищному строительству. В периоды, когда государственные проекты не реализовывались, в структуре ввода преобладало индивидуальное жилищное строительство. 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 итогам 2021 года в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эксплуатацию введено 204,5 тыс. кв. м жилья, преимущественно за счет сектора индивидуального жилищного строительства (ИЖС) при поддержке новой государственной программы «Дальневосточная ипотека».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 I квартале 2025 года в Забайкальском крае введено 183,2 ты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с. кв. м., в том числе: многоквартирные дома – 14,3 тыс. кв. м., индивидуальные дома – 168,9 тыс. кв. м. Плановый показатель ввода жилья на 2025 год составляет 263 тыс. кв. м. Выполнение плана на год уже составляет 69,7%.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Жилищное строительство Забайкальс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кого края сталкивается со следующими ограничениями: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1) высокая себестоимость строительства;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2) низкая покупательная способность населения;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3) дефицит кадров в отрасли.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Целью направления является развитие строительного комплекса Забайкальского края для улуч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шения жилищных условий населения, увеличения объема жилищного строительства и повышение качества социальной, инженерной и транспортной инфраструктуры и городской среды до среднероссийского уровня. 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1) реализация механизма комплексного развития территорий;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2) оказание мер поддержки организациям, реализующим проекты в сфере производства строительных материалов, том числе с использованием средств региональных институтов развития;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3) сокращение количеств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 непригодных для проживания жилых помещений, а также многоквартирных домов, признанных аварийными и подлежащих сносу или реконструкции;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4) кадровое обеспечение потребности строительного комплекса Забайкальского края;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5) повышение эффективности использован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ия застроенных территорий;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6) разработка и внедрение программ малоэтажного строительства доступного жилья с учетом перспективного развития территорий;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7) повышение доступности арендного жилья;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8) разработка региональной льготной ипотечной программы для соб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ственников частных домов на приобретение жилья в многоквартирных домах, строительство которых осуществляется в рамках реализации проектов комплексного развития территорий.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достижения поставленных задач необходимо создание условий для реализации мастер-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планов городов Читы и Краснокаменска, проектов комплексного развития территорий, разработки и реализации региональной программы «Жилищная политика» на период 2024-2035 годов. 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Реализация мастер-планов будет осуществляться за счет следующих мер: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ме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ждународной ТОР;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обновление исторического центра и благоустройство набережной р. Читы;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кадетского училища;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вывод с территории г. Читы пенитенциарных учреждений;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горной академии и современного межвузовского кампуса;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многофункционального музейно-образовательного комплекса.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создание центра единоборств и лукодрома.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улучшения жилищных условий граждан Российской Федерации необходимы продолжение осуществления действующих льготных ипотечных программ для отдельны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х категорий граждан («Льготная ипотека», «Семейная ипотека», «Сельская ипотека», «IT-ипотека»), программы «Дальневосточная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ипотека» и разработка региональной программы субсидирования лицам, заключившим договоры о комплексном развитии территорий, на возмеще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ние расходов по строительству или приобретению жилья для предоставления гражданам, переселяемым из частных домов.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сокращения количества непригодных для проживания жилых помещений, ветхих и аварийных зданий необходимо разработать порядок и механизм пере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селения граждан в рамках комплексного развития территорий, предоставление возмещения за изымаемое жилое помещение на основании рыночной стоимости, определенной оценочной организацией, или жилого помещения взамен аварийного, равнозначного по общей площади р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анее занимаемому жилому помещению, по договору социального найма.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Потребность строительного комплекса в кадрах обеспечивается формированием и реализацией мероприятий по повышению квалификации специалистов в области архитектуры, строительства и городского х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озяйства, содействием занятости трудовых ресурсов Забайкальского края. 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Для повышения эффективности использования застроенных территорий необходима разработка и внедрение инструментов поддержки застройщиков, реализующих в своих проектах принципы комфортной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городской среды в пределах жилых комплексов, развитие коммерческой инфраструктуры на придомовых пространствах, благоустройство придомовых территорий многоквартирных домов и территорий общего пользования микрорайонов индивидуального жилищного строительства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Программа малоэтажного строительства доступного жилья с учетом перспективного развития территорий связана с разработкой, утверждением программы комплексного развития малоэтажного строительства, оказанием государственной поддержки развития строительства 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ндивидуальных жилых домов. Это позволит улучшить жилищные условия граждан, проживающих на сельских территориях.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Повышение доступности арендного жилья достигается путем создания жилищного фонда социального найма, предоставлением субсидий малоимущим граждана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м на использование арендного жилья.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1) количество семей, улучшивших жилищные условия, – 35,2 тыс. семей;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2) ввод в эксплуатацию жилых домов за счет всех источников финансирования – 501,6 тыс. кв. м;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3) улучшение качества г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ородской среды на 64 %.</w:t>
      </w:r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bookmarkStart w:id="75" w:name="_Hlk112796041"/>
      <w:r>
        <w:rPr>
          <w:rFonts w:ascii="Times New Roman" w:hAnsi="Times New Roman" w:cs="Times New Roman"/>
          <w:bCs/>
          <w:iCs/>
          <w:sz w:val="28"/>
          <w:szCs w:val="28"/>
        </w:rPr>
      </w:r>
      <w:r>
        <w:rPr>
          <w:rFonts w:ascii="Times New Roman" w:hAnsi="Times New Roman" w:cs="Times New Roman"/>
          <w:bCs/>
          <w:iCs/>
          <w:sz w:val="28"/>
          <w:szCs w:val="28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5. ПОВЫШЕНИЕ КОНКУРЕНТОСПОСОБНОСТИ ЭКОНОМИКИ</w:t>
      </w:r>
      <w:bookmarkEnd w:id="75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ориентирована на повышение конкурентоспособности продукции, товаров и услуг, производимых в Забайкальском крае, как для российского, так и мирового рынков.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Ключевыми драйверам</w:t>
      </w:r>
      <w:r>
        <w:rPr>
          <w:rFonts w:ascii="Times New Roman" w:hAnsi="Times New Roman" w:cs="Times New Roman"/>
          <w:sz w:val="28"/>
          <w:szCs w:val="28"/>
        </w:rPr>
        <w:t xml:space="preserve">и экономического роста до 2035 года будут отрасли, обладающие потенциалом расширения поставок продукции (услуг) </w:t>
      </w:r>
      <w:r>
        <w:rPr>
          <w:rFonts w:ascii="Times New Roman" w:hAnsi="Times New Roman" w:cs="Times New Roman"/>
          <w:sz w:val="28"/>
          <w:szCs w:val="28"/>
        </w:rPr>
        <w:t xml:space="preserve">на внешний и внутренний рынок: горно-металлургическая промышленность, агропромышленный комплекс (растениеводство, животноводство и пищевая промы</w:t>
      </w:r>
      <w:r>
        <w:rPr>
          <w:rFonts w:ascii="Times New Roman" w:hAnsi="Times New Roman" w:cs="Times New Roman"/>
          <w:sz w:val="28"/>
          <w:szCs w:val="28"/>
        </w:rPr>
        <w:t xml:space="preserve">шленность), лесной комплекс (лесозаготовка и лесопереработка) и туризм.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Технологическое развитие и снижение негативного воздействия на окружающую среду отраслей экономики будет основано на развитии науки и инноваций, а также рационального природопользовани</w:t>
      </w:r>
      <w:r>
        <w:rPr>
          <w:rFonts w:ascii="Times New Roman" w:hAnsi="Times New Roman" w:cs="Times New Roman"/>
          <w:sz w:val="28"/>
          <w:szCs w:val="28"/>
        </w:rPr>
        <w:t xml:space="preserve">я и обеспечения экологической безопасности.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Важной составляющей повышения конкурентоспособности экономики должно стать активное развитие МСП как фактора улучшения отраслевой структуры экономики и обеспечения высокого уровня занятости.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приоритета «Повышение конкурентоспособности экономики» ставится стратегическая цель по обеспечению опережающих среднероссийские темпов экономического роста, основанных на максимизации отдачи от реализации запасов природных ресурсов, выгодного экон</w:t>
      </w:r>
      <w:r>
        <w:rPr>
          <w:rFonts w:ascii="Times New Roman" w:hAnsi="Times New Roman" w:cs="Times New Roman"/>
          <w:sz w:val="28"/>
          <w:szCs w:val="28"/>
        </w:rPr>
        <w:t xml:space="preserve">омико-географического положения и высокого рекреационного потенциала.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Ключевые целевые показатели по данному приоритету развития в 2035 году: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numPr>
          <w:numId w:val="2"/>
          <w:ilvl w:val="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производительность труда – рост в 2,3 раза к 2021 году;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2"/>
          <w:ilvl w:val="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ВРП – рост в 2,5 раза к 2021 году.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76" w:name="_Toc204259671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5.1. Малое и среднее </w:t>
      </w:r>
      <w:bookmarkStart w:id="77" w:name="_Hlk112788695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предпринимательство</w:t>
      </w:r>
      <w:bookmarkEnd w:id="76"/>
      <w:bookmarkEnd w:id="77"/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2024 году на территории края функционировало 30,2 тыс. единиц МСП, что ниже показателя 2012 года (35,7 тыс. единиц) на 15 %. При этом численность занятых в МСП увеличилась на 20,8 % и составила в 2024 году 122,7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тыс. человек (в 2012 году – 101,6 тыс. человек). Доля МСП в ВРП края в 2024 году и составила 17,0 %, что выше на 8,5 процентных пунктов чем в 2012 году (8,5 %), но ниже уровня по ДФО и России.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Целью направления является трансформация Забайкальского края в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комфортный регион для ведения предпринимательской деятельности и увеличение вклада МСП в экономику.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создание благоприятного климата для ведения бизнеса;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стимулирование предпринимательской инициативы;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стимулир</w:t>
      </w:r>
      <w:r>
        <w:rPr>
          <w:rFonts w:ascii="Times New Roman" w:hAnsi="Times New Roman" w:cs="Times New Roman"/>
          <w:sz w:val="28"/>
          <w:szCs w:val="28"/>
        </w:rPr>
        <w:t xml:space="preserve">ование переориентации МСП с торгово-посреднического на производственное направление с использованием средств региональных институтов развития;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вовлечение МСП во внешнеэкономическую деятельность, в том числе используя инструменты Центра поддержки экспорт</w:t>
      </w:r>
      <w:r>
        <w:rPr>
          <w:rFonts w:ascii="Times New Roman" w:hAnsi="Times New Roman" w:cs="Times New Roman"/>
          <w:sz w:val="28"/>
          <w:szCs w:val="28"/>
        </w:rPr>
        <w:t xml:space="preserve">а – структурного подразделения некоммерческой </w:t>
      </w:r>
      <w:r>
        <w:rPr>
          <w:rFonts w:ascii="Times New Roman" w:hAnsi="Times New Roman" w:cs="Times New Roman"/>
          <w:sz w:val="28"/>
          <w:szCs w:val="28"/>
        </w:rPr>
        <w:t xml:space="preserve">микрокредитной</w:t>
      </w:r>
      <w:r>
        <w:rPr>
          <w:rFonts w:ascii="Times New Roman" w:hAnsi="Times New Roman" w:cs="Times New Roman"/>
          <w:sz w:val="28"/>
          <w:szCs w:val="28"/>
        </w:rPr>
        <w:t xml:space="preserve"> компании «Фонд поддержки малого предпринимательства Забайкальского края».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задач предусматривается: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доступности инфраструктуры для развития и поддержки предпринимательск</w:t>
      </w:r>
      <w:r>
        <w:rPr>
          <w:rFonts w:ascii="Times New Roman" w:hAnsi="Times New Roman" w:cs="Times New Roman"/>
          <w:sz w:val="28"/>
          <w:szCs w:val="28"/>
        </w:rPr>
        <w:t xml:space="preserve">ой деятельности на всей территории края, в том числе снижение административной нагрузки на малые и средние предприятия, расширение имущественной поддержки субъектов МСП, а также создание благоприятных условий осуществления деятельности для самозанятых граж</w:t>
      </w:r>
      <w:r>
        <w:rPr>
          <w:rFonts w:ascii="Times New Roman" w:hAnsi="Times New Roman" w:cs="Times New Roman"/>
          <w:sz w:val="28"/>
          <w:szCs w:val="28"/>
        </w:rPr>
        <w:t xml:space="preserve">дан;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участие Забайкальского края в федеральном проекте «Малое и среднее предпринимательство и поддержка индивидуальной предпринимательской инициативы» национального проекта «Эффективная и конкурентная экономика.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в 2024 году: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численности за</w:t>
      </w:r>
      <w:r>
        <w:rPr>
          <w:rFonts w:ascii="Times New Roman" w:hAnsi="Times New Roman" w:cs="Times New Roman"/>
          <w:sz w:val="28"/>
          <w:szCs w:val="28"/>
        </w:rPr>
        <w:t xml:space="preserve">нятых в сфере МСП, включая индивидуальных предпринимателей и самозанятых, - на 17,7% раза к уровню 2021 года;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проведение мероприятий по популяризации предпринимательства, по освещению лучших практик малого и среднего бизнеса на муниципальном уровне, по обу</w:t>
      </w:r>
      <w:r>
        <w:rPr>
          <w:rFonts w:ascii="Times New Roman" w:hAnsi="Times New Roman" w:cs="Times New Roman"/>
          <w:sz w:val="28"/>
          <w:szCs w:val="28"/>
        </w:rPr>
        <w:t xml:space="preserve">чению основам предпринимательской деятельности и самозанятости для населения,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и развитие объектов производственной инфраструктуры для размещения субъектов малого и среднего предпринимательства, разработка региональных и</w:t>
      </w:r>
      <w:r>
        <w:rPr>
          <w:rFonts w:ascii="Times New Roman" w:hAnsi="Times New Roman" w:cs="Times New Roman"/>
          <w:sz w:val="28"/>
          <w:szCs w:val="28"/>
        </w:rPr>
        <w:t xml:space="preserve">нициатив, направленных на расширение взаимодействия субъектов МСП с крупным бизнесом, субсидирование процентной ставки по кредитам и части затрат на приобретение оборудования, в том числе высокотехнологичного, переориентация образовательных программ центра</w:t>
      </w:r>
      <w:r>
        <w:rPr>
          <w:rFonts w:ascii="Times New Roman" w:hAnsi="Times New Roman" w:cs="Times New Roman"/>
          <w:sz w:val="28"/>
          <w:szCs w:val="28"/>
        </w:rPr>
        <w:t xml:space="preserve"> «Мой бизнес» на технологический профиль в соответствии с потребностями приоритетных производственных отраслей края;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содействие вовлечению субъектов МСП во внешнеэкономическую деятельность, в том числе с участием Центра поддержки экспорта Забайкальского кр</w:t>
      </w:r>
      <w:r>
        <w:rPr>
          <w:rFonts w:ascii="Times New Roman" w:hAnsi="Times New Roman" w:cs="Times New Roman"/>
          <w:sz w:val="28"/>
          <w:szCs w:val="28"/>
        </w:rPr>
        <w:t xml:space="preserve">ая.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рост объема оборота малого бизнеса – в 3 раза к уровню 2021 года;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рост доли обрабатывающих производств в структуре оборота малого бизнеса – до 18,6 %;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рост дохода в расчете на одного работника субъекта МСП в </w:t>
      </w:r>
      <w:r>
        <w:rPr>
          <w:rFonts w:ascii="Times New Roman" w:hAnsi="Times New Roman" w:cs="Times New Roman"/>
          <w:sz w:val="28"/>
          <w:szCs w:val="28"/>
        </w:rPr>
        <w:t xml:space="preserve">1,5 раза к уровню 2021 года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рост доли МСП в ВРП – в 1,5 раза;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рост объема платных услуг населению – на 46 %;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прогнозные значения показателей по экспорту субъектов МСП представлены (таблица 21).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рост дохода в расчете на одного работника субъекта МСП в 1,5 раза к уровню 2024 года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21. Показатели по экспорту субъектов МСП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Style w:val="1033"/>
        <w:tblW w:w="0" w:type="auto"/>
        <w:tblLook w:val="04A0" w:firstRow="1" w:lastRow="0" w:firstColumn="1" w:lastColumn="0" w:noHBand="0" w:noVBand="1"/>
      </w:tblPr>
      <w:tblGrid>
        <w:gridCol w:w="2440"/>
        <w:gridCol w:w="1221"/>
        <w:gridCol w:w="1221"/>
        <w:gridCol w:w="1221"/>
        <w:gridCol w:w="1221"/>
        <w:gridCol w:w="1123"/>
        <w:gridCol w:w="1123"/>
      </w:tblGrid>
      <w:tr>
        <w:trPr/>
        <w:tblPrEx/>
        <w:tc>
          <w:tcPr>
            <w:tcW w:w="2457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247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246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2022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246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2023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246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2024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136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2030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  <w:tc>
          <w:tcPr>
            <w:tcW w:w="1136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2035 год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</w:r>
          </w:p>
        </w:tc>
      </w:tr>
      <w:tr>
        <w:trPr/>
        <w:tblPrEx/>
        <w:tc>
          <w:tcPr>
            <w:tcW w:w="2457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Число СМСП-экспортеров (ед.)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7" w:type="dxa"/>
            <w:noWrap w:val="false"/>
            <w:textDirection w:val="lrTb"/>
            <w:vAlign w:val="center"/>
          </w:tcPr>
          <w:p>
            <w:pPr>
              <w:tabs>
                <w:tab w:val="left" w:pos="486" w:leader="none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6" w:type="dxa"/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6" w:type="dxa"/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6" w:type="dxa"/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6" w:type="dxa"/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6" w:type="dxa"/>
            <w:noWrap w:val="false"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2457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Объем несырьевого неэнергетического экспорта субъектов МСП (млн долл.)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247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95,86</w: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124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89,44</w: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124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88,51</w: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124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88,47</w:t>
            </w:r>
            <w:r>
              <w:rPr>
                <w:rFonts w:ascii="Times New Roman" w:hAnsi="Times New Roman" w:cs="Times New Roman"/>
                <w:sz w:val="24"/>
              </w:rPr>
            </w:r>
            <w:r>
              <w:rPr>
                <w:rFonts w:ascii="Times New Roman" w:hAnsi="Times New Roman" w:cs="Times New Roman"/>
                <w:sz w:val="24"/>
              </w:rPr>
            </w:r>
          </w:p>
        </w:tc>
        <w:tc>
          <w:tcPr>
            <w:tcW w:w="113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108,75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6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169,80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78" w:name="_Toc204259672"/>
      <w:r>
        <w:rPr>
          <w:rFonts w:ascii="Times New Roman" w:hAnsi="Times New Roman"/>
          <w:b/>
          <w:sz w:val="28"/>
          <w:szCs w:val="28"/>
        </w:rPr>
        <w:t xml:space="preserve">5.2. Рациональное природопользование и экологическая безопасность</w:t>
      </w:r>
      <w:bookmarkEnd w:id="78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Экологическое состояние окружающей среды в Забайкальском крае при наличии большой территории и низкой концентрации объектов промышленного производства в целом оценивается как удовлетворител</w:t>
      </w:r>
      <w:r>
        <w:rPr>
          <w:rFonts w:ascii="Times New Roman" w:hAnsi="Times New Roman" w:eastAsia="Calibri" w:cs="Times New Roman"/>
          <w:sz w:val="28"/>
          <w:szCs w:val="28"/>
        </w:rPr>
        <w:t xml:space="preserve">ьное. Высокая экологическая нагрузка на окружающую среду отмечается в ограниченных локациях.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Высокую нагрузку на экологию региона оказывают использование преимущественно угольных теплоэлектростанций и котельных, а также комплекс экологических проблем, созд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анный за годы деятельности горнорудной промышленности (заброшенные 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законсервированные рудники,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нерекультивированные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карьеры, отвалы и отстойники). Забайкальский край занял 82 место из 83 в национальном экологическом рейтинге регионов Российской Федерации</w:t>
      </w:r>
      <w:r>
        <w:rPr>
          <w:rFonts w:ascii="Times New Roman" w:hAnsi="Times New Roman" w:eastAsia="Calibri" w:cs="Times New Roman"/>
          <w:sz w:val="28"/>
          <w:szCs w:val="28"/>
        </w:rPr>
        <w:t xml:space="preserve"> по итогам зимы 2024-2025 годов.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widowControl w:val="off"/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 данным ежегодного мониторинга качества атмосферного воздуха, в городах Забайкальского края стабильно отмечается высокий уровень его загрязнения. Основными веществами, определяющими загрязнение атмосферы, являются бензапи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рен, пыль (взвешенные частицы), азота диоксид и фенол, более 85 % от общих объемов выбросов образуется от сжигания топлива в населенных пунктах края. Наиболее высокие среднегодовые значения загрязнения наблюдаются в г. Чита и г. Петровск-Забайкальский, где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максимальные из среднемесячных концентраций бензапирена превышают 10 ПДК.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Согласно ежегодной комплексной оценке качества поверхностных вод, характерными веществами, содержание которых превышает предельно допустимые концентрации, являются биогенные элемент</w:t>
      </w:r>
      <w:r>
        <w:rPr>
          <w:rFonts w:ascii="Times New Roman" w:hAnsi="Times New Roman" w:eastAsia="Calibri" w:cs="Times New Roman"/>
          <w:sz w:val="28"/>
          <w:szCs w:val="28"/>
        </w:rPr>
        <w:t xml:space="preserve">ы, нефтепродукты, фенолы, железо, цинк, медь и др. Наиболее загрязненными являются реки Амурского бассейна из-за наибольшей освоенности территорий, затем Ленский бассейн и Байкальский. Превышение предельно допустимой концентрации загрязняющих веществ в вод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ных ресурсах варьирует от 1,6 до 28,8 и более. В населенных пунктах края населению подается питьевая вода с содержанием химических веществ, превышающим гигиенические нормативы. Поверхностные водные объекты Забайкальского края относятся к очень загрязненным</w:t>
      </w:r>
      <w:r>
        <w:rPr>
          <w:rFonts w:ascii="Times New Roman" w:hAnsi="Times New Roman" w:eastAsia="Calibri" w:cs="Times New Roman"/>
          <w:sz w:val="28"/>
          <w:szCs w:val="28"/>
        </w:rPr>
        <w:t xml:space="preserve">, загрязненным и грязным.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Сортировка твердых коммунальных отходов в крае слабо развита. Доля твердых коммунальных отходов, направленных на обработку (сортировку), в общей массе образованных твердых бытовых отходов составляет 1,7 % (РФ – </w:t>
      </w:r>
      <w:r>
        <w:rPr>
          <w:rFonts w:ascii="Times New Roman" w:hAnsi="Times New Roman" w:eastAsia="Calibri" w:cs="Times New Roman"/>
          <w:sz w:val="28"/>
          <w:szCs w:val="28"/>
        </w:rPr>
        <w:t xml:space="preserve">43,3 %). Доля насел</w:t>
      </w:r>
      <w:r>
        <w:rPr>
          <w:rFonts w:ascii="Times New Roman" w:hAnsi="Times New Roman" w:eastAsia="Calibri" w:cs="Times New Roman"/>
          <w:sz w:val="28"/>
          <w:szCs w:val="28"/>
        </w:rPr>
        <w:t xml:space="preserve">ения, охваченного коммунальной услугой по обращению с твердыми коммунальными отходами – 95 %.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Cs/>
          <w:sz w:val="28"/>
          <w:szCs w:val="28"/>
        </w:rPr>
        <w:t xml:space="preserve">Целью направления</w:t>
      </w:r>
      <w:r>
        <w:rPr>
          <w:rFonts w:ascii="Times New Roman" w:hAnsi="Times New Roman" w:eastAsia="Calibri" w:cs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является улучшение в Забайкальском крае экологической ситуации и снижение негативного воздействия хозяйственной деятельности человека на окружа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ющую природную среду.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1) повышение эффективности системы обращения с отходами производства и потребления;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2) восстановление и возвращение в пользование земель, отчужденных под объекты складирования промышленных и коммунальных отходов, в том числе путем вовлечения их в переработку;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3) формирование «зеленой» экономики с безотходным производственным циклом и отсу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тствием выбросов и сбросов загрязняющих веществ в окружающую среду;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4) </w:t>
      </w:r>
      <w:r>
        <w:rPr>
          <w:rFonts w:ascii="Times New Roman" w:hAnsi="Times New Roman" w:cs="Times New Roman"/>
          <w:sz w:val="28"/>
          <w:szCs w:val="28"/>
        </w:rPr>
        <w:t xml:space="preserve">расширение использования </w:t>
      </w:r>
      <w:bookmarkStart w:id="79" w:name="_Hlk113134111"/>
      <w:r>
        <w:rPr>
          <w:rFonts w:ascii="Times New Roman" w:hAnsi="Times New Roman" w:cs="Times New Roman"/>
          <w:sz w:val="28"/>
          <w:szCs w:val="28"/>
        </w:rPr>
        <w:t xml:space="preserve">более экологичного </w:t>
      </w:r>
      <w:bookmarkEnd w:id="79"/>
      <w:r>
        <w:rPr>
          <w:rFonts w:ascii="Times New Roman" w:hAnsi="Times New Roman" w:cs="Times New Roman"/>
          <w:sz w:val="28"/>
          <w:szCs w:val="28"/>
        </w:rPr>
        <w:t xml:space="preserve">транспорта (электрокаров и автомобилей, работающих на газовом топливе) для обслуживания населения и отраслей экономики;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снижение выбросов от промышленных предприятий, в том числе от предприятий теплоэнергетики;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сохранение и восстановление биологического разнообразия природных экосистем, обеспечение качества окружающей среды;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В целях снижения уровня загрязнения атмосфе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рного воздуха в Забайкальском крае осуществляется реализация регионального проекта «Чистый воздух (Забайкальский край)» федерального проекта «Чистый воздух» национального проекта «Экологическое благополучие» в границах г. Читы.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Комплексный план мероприятий</w:t>
      </w:r>
      <w:r>
        <w:rPr>
          <w:rFonts w:ascii="Times New Roman" w:hAnsi="Times New Roman" w:eastAsia="Calibri" w:cs="Times New Roman"/>
          <w:sz w:val="28"/>
          <w:szCs w:val="28"/>
        </w:rPr>
        <w:t xml:space="preserve"> по снижению выбросов загрязняющих веществ в атмосферный воздух в городском округе Чита требует финансирования в размере 10,18 млрд. рублей, в том числе из средств федерального бюджета 10,07 млрд. рублей. Комплексный план направлен на кардинальное снижение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выбросов загрязняющих веществ в атмосферный воздух и обеспечение благоприятных условий проживания жителей г. Читы. К 2027 году будет снижен совокупный объем выбросов в атмосферный воздух на 23 618,28 тонны (31,70 % от уровня 2017 года), в том числе совоку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пный объем выбросов опасных загрязняющих веществ на 22 960,4 тонны (37,41 % от уровня 2017 года).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Повышение эффективности системы обращения с отходами производства и потребления предусматривает ликвидацию свалок ТКО вблизи населенных пунктов Забайкальского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 края и всех выявленных несанкционированных свалок, а также строительство в крае комплексов по сортировке ТКО в Улетовском муниципальном округе (вблизи с. Улеты), Петровск-Забайкальском муниципальном округе (вблизи с. </w:t>
      </w:r>
      <w:r>
        <w:rPr>
          <w:rFonts w:ascii="Times New Roman" w:hAnsi="Times New Roman" w:eastAsia="Calibri" w:cs="Times New Roman"/>
          <w:sz w:val="28"/>
          <w:szCs w:val="28"/>
        </w:rPr>
        <w:t xml:space="preserve">Баляга</w:t>
      </w:r>
      <w:r>
        <w:rPr>
          <w:rFonts w:ascii="Times New Roman" w:hAnsi="Times New Roman" w:eastAsia="Calibri" w:cs="Times New Roman"/>
          <w:sz w:val="28"/>
          <w:szCs w:val="28"/>
        </w:rPr>
        <w:t xml:space="preserve">), 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Нерчинском муниципальном окру</w:t>
      </w:r>
      <w:r>
        <w:rPr>
          <w:rFonts w:ascii="Times New Roman" w:hAnsi="Times New Roman" w:eastAsia="Calibri" w:cs="Times New Roman"/>
          <w:sz w:val="28"/>
          <w:szCs w:val="28"/>
        </w:rPr>
        <w:t xml:space="preserve">ге (вблизи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пгт</w:t>
      </w:r>
      <w:r>
        <w:rPr>
          <w:rFonts w:ascii="Times New Roman" w:hAnsi="Times New Roman" w:eastAsia="Calibri" w:cs="Times New Roman"/>
          <w:sz w:val="28"/>
          <w:szCs w:val="28"/>
        </w:rPr>
        <w:t xml:space="preserve">. Нерчинск), Краснокаменском муниципальном округе (вблизи г. Краснокаменск), строительство полигонов ТКО в Улетовском муниципальном округе (вблизи с. Улеты), Петровск-Забайкальском муниципальном округе (вблизи с. </w:t>
      </w:r>
      <w:r>
        <w:rPr>
          <w:rFonts w:ascii="Times New Roman" w:hAnsi="Times New Roman" w:eastAsia="Calibri" w:cs="Times New Roman"/>
          <w:sz w:val="28"/>
          <w:szCs w:val="28"/>
        </w:rPr>
        <w:t xml:space="preserve">Баляга</w:t>
      </w:r>
      <w:r>
        <w:rPr>
          <w:rFonts w:ascii="Times New Roman" w:hAnsi="Times New Roman" w:eastAsia="Calibri" w:cs="Times New Roman"/>
          <w:sz w:val="28"/>
          <w:szCs w:val="28"/>
        </w:rPr>
        <w:t xml:space="preserve">), Нерчинском муниципал</w:t>
      </w:r>
      <w:r>
        <w:rPr>
          <w:rFonts w:ascii="Times New Roman" w:hAnsi="Times New Roman" w:eastAsia="Calibri" w:cs="Times New Roman"/>
          <w:sz w:val="28"/>
          <w:szCs w:val="28"/>
        </w:rPr>
        <w:t xml:space="preserve">ьном округе (вблизи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пгт</w:t>
      </w:r>
      <w:r>
        <w:rPr>
          <w:rFonts w:ascii="Times New Roman" w:hAnsi="Times New Roman" w:eastAsia="Calibri" w:cs="Times New Roman"/>
          <w:sz w:val="28"/>
          <w:szCs w:val="28"/>
        </w:rPr>
        <w:t xml:space="preserve">. Нерчинск) и реконструкцию действующего полигона ТКО в Краснокаменском муниципальном округе (г. Краснокаменск) с увеличением мощности объекта до 40 тыс. тонн/год. Указанные мероприятия реализуются в рамках федерального проекта «Экон</w:t>
      </w:r>
      <w:r>
        <w:rPr>
          <w:rFonts w:ascii="Times New Roman" w:hAnsi="Times New Roman" w:eastAsia="Calibri" w:cs="Times New Roman"/>
          <w:sz w:val="28"/>
          <w:szCs w:val="28"/>
        </w:rPr>
        <w:t xml:space="preserve">омика замкнутого цикла» национального проекта «Экологическое благополучие». Наиболее значимым мероприятием выступит строительство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экотехнопарка</w:t>
      </w:r>
      <w:r>
        <w:rPr>
          <w:rFonts w:ascii="Times New Roman" w:hAnsi="Times New Roman" w:eastAsia="Calibri" w:cs="Times New Roman"/>
          <w:sz w:val="28"/>
          <w:szCs w:val="28"/>
        </w:rPr>
        <w:t xml:space="preserve"> – единого промышленно- экологического кластера по переработке промышленных и коммунальных отходов.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highlight w:val="yellow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указ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анных объектов позволит обеспечить формирование современной инфраструктуры в области обращения с ТКО в Забайкальском крае. Реализация мероприятий будет обеспечена в рамках концессионных соглашений с привлечением мер поддержки ППК «Российский экологический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оператор». Реализация проектов имеет высокое социально-экономическое значение для экономики края. Будет создано 260 рабочих мест, в бюджеты разных уровней ожидается поступление 3,3 млрд. руб., сумма страховых взносов за 28 лет составит 1,7 млрд. руб.</w:t>
      </w:r>
      <w:r>
        <w:rPr>
          <w:rFonts w:ascii="Times New Roman" w:hAnsi="Times New Roman" w:eastAsia="Calibri" w:cs="Times New Roman"/>
          <w:sz w:val="28"/>
          <w:szCs w:val="28"/>
          <w:highlight w:val="yellow"/>
        </w:rPr>
      </w:r>
      <w:r>
        <w:rPr>
          <w:rFonts w:ascii="Times New Roman" w:hAnsi="Times New Roman" w:eastAsia="Calibri" w:cs="Times New Roman"/>
          <w:sz w:val="28"/>
          <w:szCs w:val="28"/>
          <w:highlight w:val="yellow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Также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основополагающей деятельностью продолжит оставаться улучшение состояния природной среды и обеспечение биоразнообразия, в том числе на территориях особо охраняемых природных объектов. Реализуется подпрограмма «Развитие ООПТ в Забайкальском крае» государств</w:t>
      </w:r>
      <w:r>
        <w:rPr>
          <w:rFonts w:ascii="Times New Roman" w:hAnsi="Times New Roman" w:eastAsia="Calibri" w:cs="Times New Roman"/>
          <w:sz w:val="28"/>
          <w:szCs w:val="28"/>
        </w:rPr>
        <w:t xml:space="preserve">енной программы Забайкальского края «Охрана окружающей среды», предусматривающая дальнейшее развитие ООПТ регионального значения.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numPr>
          <w:numId w:val="11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уровня показателя «Качество окружающей среды» до 108,3 %;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1"/>
          <w:ilvl w:val="0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доли площади</w:t>
      </w:r>
      <w:r>
        <w:rPr>
          <w:rFonts w:ascii="Times New Roman" w:hAnsi="Times New Roman"/>
          <w:sz w:val="28"/>
          <w:szCs w:val="28"/>
        </w:rPr>
        <w:t xml:space="preserve"> территории края, занятой особо охраняемыми природными территориями, в общей площади территории Забайкальского края до 14,5 %;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1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сортировка отходов в объеме 100 % и снижение объема отходов, направляемых на полигоны, в два раза.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80" w:name="_Toc204259673"/>
      <w:r>
        <w:rPr>
          <w:rFonts w:ascii="Times New Roman" w:hAnsi="Times New Roman"/>
          <w:b/>
          <w:sz w:val="28"/>
          <w:szCs w:val="28"/>
        </w:rPr>
        <w:t xml:space="preserve">5.3. Горно-металлургический комплекс</w:t>
      </w:r>
      <w:bookmarkEnd w:id="80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Целью направления является развитие в Забайкальском крае горно-металлургической отрасли.</w:t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1) обеспечение существенного прироста запасов рудного и россыпного золота за счет проведени</w:t>
      </w:r>
      <w:r>
        <w:rPr>
          <w:rFonts w:ascii="Times New Roman" w:hAnsi="Times New Roman" w:eastAsia="Calibri" w:cs="Times New Roman"/>
          <w:sz w:val="28"/>
          <w:szCs w:val="28"/>
        </w:rPr>
        <w:t xml:space="preserve">я геологоразведочных работ в первую очередь по выявлению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оруденения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на глубоких горизонтах известных крупнотоннажных объектов: </w:t>
      </w:r>
      <w:r>
        <w:rPr>
          <w:rFonts w:ascii="Times New Roman" w:hAnsi="Times New Roman" w:eastAsia="Calibri" w:cs="Times New Roman"/>
          <w:sz w:val="28"/>
          <w:szCs w:val="28"/>
        </w:rPr>
        <w:t xml:space="preserve">Дарасунского</w:t>
      </w:r>
      <w:r>
        <w:rPr>
          <w:rFonts w:ascii="Times New Roman" w:hAnsi="Times New Roman" w:eastAsia="Calibri" w:cs="Times New Roman"/>
          <w:sz w:val="28"/>
          <w:szCs w:val="28"/>
        </w:rPr>
        <w:t xml:space="preserve"> рудного поля, а также на Балейском и Тасеевском месторождениях (по экспертной оценке геологов прогнозируемая вторая </w:t>
      </w:r>
      <w:r>
        <w:rPr>
          <w:rFonts w:ascii="Times New Roman" w:hAnsi="Times New Roman" w:eastAsia="Calibri" w:cs="Times New Roman"/>
          <w:sz w:val="28"/>
          <w:szCs w:val="28"/>
        </w:rPr>
        <w:t xml:space="preserve">глубинная зона 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оруденения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, сопоставимая по запасам золота с верхней зоной, т.е. порядка 250–300 тонн). Кроме геологоразведочных работ, проводимых ЗАО «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Росгеология</w:t>
      </w:r>
      <w:r>
        <w:rPr>
          <w:rFonts w:ascii="Times New Roman" w:hAnsi="Times New Roman" w:eastAsia="Calibri" w:cs="Times New Roman"/>
          <w:sz w:val="28"/>
          <w:szCs w:val="28"/>
        </w:rPr>
        <w:t xml:space="preserve">» по госпрограмме, планируется привлечение юниорских геологоразведочных компаний и буровых ком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паний, работающих на принципах аутсорсинга. Значительный прирост ресурсов этих, а также некоторых других крупных средних, малых золоторудных и россыпных месторождений, в том числе накопленного техногенного сырья, обеспечивается за счет ревизионной оценки с</w:t>
      </w:r>
      <w:r>
        <w:rPr>
          <w:rFonts w:ascii="Times New Roman" w:hAnsi="Times New Roman" w:eastAsia="Calibri" w:cs="Times New Roman"/>
          <w:sz w:val="28"/>
          <w:szCs w:val="28"/>
        </w:rPr>
        <w:t xml:space="preserve"> учетом возможности его переработки по инновационным технологиям;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2) обеспечение рационального использования минерально-сырьевых ресурсов за счет вовлечения в экономический оборот месторождений по ключевым видам полезных ископаемых на основе геологоразведки, анализа статуса этих месторождений и причин их неиспользования,</w:t>
      </w:r>
      <w:r>
        <w:rPr>
          <w:rFonts w:ascii="Times New Roman" w:hAnsi="Times New Roman" w:eastAsia="Calibri" w:cs="Times New Roman"/>
          <w:sz w:val="28"/>
          <w:szCs w:val="28"/>
        </w:rPr>
        <w:t xml:space="preserve"> а также создания условий для внедрения инновационных технологий по добыче и переработке полезных ископаемых и переработке отходов (в частности, кучного выщелачивания с последующей рекультивацией штабелей), способствующих приросту извлечения ценных компоне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нтов, а также снижению уровня пыления  отвалов и недействующих хвостохранилищ и водной миграции из них 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поллютантов</w:t>
      </w:r>
      <w:r>
        <w:rPr>
          <w:rFonts w:ascii="Times New Roman" w:hAnsi="Times New Roman" w:eastAsia="Calibri" w:cs="Times New Roman"/>
          <w:sz w:val="28"/>
          <w:szCs w:val="28"/>
        </w:rPr>
        <w:t xml:space="preserve"> (мышьяка, сурьмы, тяжелых металлов), соответственно  снижению загрязнения воздуха, водных и земельных ресурсов;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3) повышение инвестиционной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привлекательности геологического изучения недр, воспроизводство минерально-сырьевой базы и наращивание минерально-сырьевого комплекса края;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4) обеспечение взаимодействия федеральных и региональных органов исполнительной власти и частных инвесторов для комп</w:t>
      </w:r>
      <w:r>
        <w:rPr>
          <w:rFonts w:ascii="Times New Roman" w:hAnsi="Times New Roman" w:eastAsia="Calibri" w:cs="Times New Roman"/>
          <w:sz w:val="28"/>
          <w:szCs w:val="28"/>
        </w:rPr>
        <w:t xml:space="preserve">лексной предпроектной оценки месторождений, проведения исследований, подготовки технической документации и проведения опытно-промышленных испытаний на базе действующих институтов федеральных государственных учреждений (например, Читинский филиал ИГД СО РАН</w:t>
      </w:r>
      <w:r>
        <w:rPr>
          <w:rFonts w:ascii="Times New Roman" w:hAnsi="Times New Roman" w:eastAsia="Calibri" w:cs="Times New Roman"/>
          <w:sz w:val="28"/>
          <w:szCs w:val="28"/>
        </w:rPr>
        <w:t xml:space="preserve">) или создание государственно-частной компании;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5) создание и развитие импортозамещающих производств горного оборудования и запасных частей;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6) поддержка реализации приоритетных инвестиционных проектов горно-металлургического комплекса: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создание готовой ме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таллопродукции из свинцового и цинкового концентратов и сбыт в КНР (Юго-Восток);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производство медно-кабельной продукции из медного концентрата (Север – ООО «</w:t>
      </w:r>
      <w:r>
        <w:rPr>
          <w:rFonts w:ascii="Times New Roman" w:hAnsi="Times New Roman" w:eastAsia="Calibri" w:cs="Times New Roman"/>
          <w:sz w:val="28"/>
          <w:szCs w:val="28"/>
        </w:rPr>
        <w:t xml:space="preserve">Удоканская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медь»);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производство железорудных окатышей из железорудного концентрата;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поставка концен</w:t>
      </w:r>
      <w:r>
        <w:rPr>
          <w:rFonts w:ascii="Times New Roman" w:hAnsi="Times New Roman" w:eastAsia="Calibri" w:cs="Times New Roman"/>
          <w:sz w:val="28"/>
          <w:szCs w:val="28"/>
        </w:rPr>
        <w:t xml:space="preserve">тратов серебряных и золотосодержащих на ближайшие аффинажные заводы (НАЗ и другие).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1) рост объема промышленного производства по виду экономической деятельности «Добыча полезных ископаемых» – в 3 раза к уровню 2021 года;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</w:t>
      </w:r>
      <w:r>
        <w:rPr>
          <w:rFonts w:ascii="Times New Roman" w:hAnsi="Times New Roman" w:eastAsia="Calibri" w:cs="Times New Roman"/>
          <w:sz w:val="28"/>
          <w:szCs w:val="28"/>
        </w:rPr>
        <w:t xml:space="preserve">) рост физического объема инвестиций в основной капитал по виду экономической деятельности «Добыча полезных ископаемых» – в 2,9 раза к уровню 2021 года;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3) рост доли валовой добавленной стоимости по виду экономической деятельности «Производство металлургич</w:t>
      </w:r>
      <w:r>
        <w:rPr>
          <w:rFonts w:ascii="Times New Roman" w:hAnsi="Times New Roman" w:eastAsia="Calibri" w:cs="Times New Roman"/>
          <w:sz w:val="28"/>
          <w:szCs w:val="28"/>
        </w:rPr>
        <w:t xml:space="preserve">еское» – до 6 %.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159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81" w:name="_Toc204259674"/>
      <w:r>
        <w:rPr>
          <w:rFonts w:ascii="Times New Roman" w:hAnsi="Times New Roman"/>
          <w:b/>
          <w:sz w:val="28"/>
          <w:szCs w:val="28"/>
        </w:rPr>
        <w:t xml:space="preserve">5.4. Развитие лесного комплекса</w:t>
      </w:r>
      <w:bookmarkEnd w:id="81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направления является развитие в Забайкальском крае эколого-сберегающего производства глубокой комплексной деревообработки, конкурентоспособной на мировом и российском рынках и обеспечение устойчивого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эффективного управления лесами, обеспечивающее восполнение лесосырьевых ресурсов.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проведение работ по охране, защите, воспроизводству лесов, лесоразведению и лесоустройству лесного фонда, развитию ресурсной базы.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Важным элементом формирования эффективной стратегии управления лесами является формирование информационной системы, компле</w:t>
      </w:r>
      <w:r>
        <w:rPr>
          <w:rFonts w:ascii="Times New Roman" w:hAnsi="Times New Roman" w:cs="Times New Roman"/>
          <w:bCs/>
          <w:sz w:val="28"/>
          <w:szCs w:val="28"/>
        </w:rPr>
        <w:t xml:space="preserve">ксный мониторинг и аудит лесных ресурсов.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Для решения задачи требуется реализация мероприятий лесоустройства и государственного кадастрового учета лесных участков, решение проблемы несанкционированной вырубки леса. Необходимо проведение мероприятий активно</w:t>
      </w:r>
      <w:r>
        <w:rPr>
          <w:rFonts w:ascii="Times New Roman" w:hAnsi="Times New Roman" w:cs="Times New Roman"/>
          <w:bCs/>
          <w:sz w:val="28"/>
          <w:szCs w:val="28"/>
        </w:rPr>
        <w:t xml:space="preserve">го искусственного лесовосстановления и поддержания его естественного процесса. 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Требуется привлечение финансирования в реализацию инвестиционных проектов, направленных на выращивание посадочного материала в закрытом грунте и его реализацию, также предостав</w:t>
      </w:r>
      <w:r>
        <w:rPr>
          <w:rFonts w:ascii="Times New Roman" w:hAnsi="Times New Roman" w:cs="Times New Roman"/>
          <w:bCs/>
          <w:sz w:val="28"/>
          <w:szCs w:val="28"/>
        </w:rPr>
        <w:t xml:space="preserve">ление мер поддержки региональным и иным компаниям, ведущим хозяйственную деятельность в области лесовосстановления и ориентированным на оказание услуг хозяйствующим субъектам в области лесопользования и лесовосстановления.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Развитие ресурсной базы отрасли н</w:t>
      </w:r>
      <w:r>
        <w:rPr>
          <w:rFonts w:ascii="Times New Roman" w:hAnsi="Times New Roman" w:cs="Times New Roman"/>
          <w:bCs/>
          <w:sz w:val="28"/>
          <w:szCs w:val="28"/>
        </w:rPr>
        <w:t xml:space="preserve">а перспективу, обеспечиваемое через интенсификацию лесовосстановительной деятельности, должно в ближнем горизонте сопровождаться активным вовлечением в хозяйственный оборот низкосортной древесины и древесных отходов;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стимулирование модернизации лесозаго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товительного и лесоперерабатывающего производств и формирование условий для создания и развития производств по глубокой переработке древесины.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Решение задачи развития лесоперерабатывающей промышленности напрямую связано с политикой государства, направленной на увеличение создаваемой в отрасли добавленной стоимости и глубины переработки древесины. 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Важными элементами являются: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привлечение частных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инвестиций (инвесторов) для реализации проектов, в том числе инновационных и технологических, и модернизации производств, по выпуску сухих пиломатериалов и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пеллет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др.;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формирование и модернизация инфраструктуры перспективных проектов, в том числе транспо</w:t>
      </w:r>
      <w:r>
        <w:rPr>
          <w:rFonts w:ascii="Times New Roman" w:hAnsi="Times New Roman" w:cs="Times New Roman"/>
          <w:bCs/>
          <w:sz w:val="28"/>
          <w:szCs w:val="28"/>
        </w:rPr>
        <w:t xml:space="preserve">ртной и инженерной;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создание развитой производственной инфраструктуры, сети комплексов глубокой переработки древесины, локализация деревообрабатывающих производств для формирования полных цепей создания стоимости, на территориях перспективного развития, в </w:t>
      </w:r>
      <w:r>
        <w:rPr>
          <w:rFonts w:ascii="Times New Roman" w:hAnsi="Times New Roman" w:cs="Times New Roman"/>
          <w:bCs/>
          <w:sz w:val="28"/>
          <w:szCs w:val="28"/>
        </w:rPr>
        <w:t xml:space="preserve">том числе в рамках ТОР, создание промышленного парка;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расширение рынка поставок (стимулирование сбыта).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увеличение площади лесных земель, сданных в аренду, – на 2,75 млн гектаров;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увеличение отношения площади лесовос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становления и лесоразведения к площади вырубленных и погибших лесных насаждений до 100 %;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3) увеличение численности занятых по видам экономической деятельности «Обработка древесины и производство изделий из дерева и пробки», «Производство бумаги и бумажных</w:t>
      </w:r>
      <w:r>
        <w:rPr>
          <w:rFonts w:ascii="Times New Roman" w:hAnsi="Times New Roman" w:cs="Times New Roman"/>
          <w:bCs/>
          <w:sz w:val="28"/>
          <w:szCs w:val="28"/>
        </w:rPr>
        <w:t xml:space="preserve"> изделий» (суммарно) – до 4,2 тыс. человек;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накопленный объем частных инвестиций в основной капитал по видам экономической деятельности «Обработка древесины и производство изделий из дерева и пробки», «Производство бумаги и бумажных изделий» (суммарно) </w:t>
      </w:r>
      <w:r>
        <w:rPr>
          <w:rFonts w:ascii="Times New Roman" w:hAnsi="Times New Roman" w:cs="Times New Roman"/>
          <w:bCs/>
          <w:sz w:val="28"/>
          <w:szCs w:val="28"/>
        </w:rPr>
        <w:t xml:space="preserve">– 40,0 млрд рублей.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159" w:line="240" w:lineRule="auto"/>
        <w:ind w:left="0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82" w:name="_Toc204259675"/>
      <w:r>
        <w:rPr>
          <w:rFonts w:ascii="Times New Roman" w:hAnsi="Times New Roman"/>
          <w:b/>
          <w:sz w:val="28"/>
          <w:szCs w:val="28"/>
        </w:rPr>
        <w:t xml:space="preserve">5.5. </w:t>
      </w:r>
      <w:r>
        <w:rPr>
          <w:rFonts w:ascii="Times New Roman" w:hAnsi="Times New Roman"/>
          <w:b/>
          <w:bCs/>
          <w:sz w:val="28"/>
          <w:szCs w:val="28"/>
        </w:rPr>
        <w:t xml:space="preserve">Туризм</w:t>
      </w:r>
      <w:bookmarkEnd w:id="82"/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направления является создание в Забайкальском крае высокоразвитой, конкурентоспособной туристской индустрии, обеспечивающей широкие возможности для удовлетворения потребностей жителей края, российских и иностранных гр</w:t>
      </w:r>
      <w:r>
        <w:rPr>
          <w:rFonts w:ascii="Times New Roman" w:hAnsi="Times New Roman" w:cs="Times New Roman"/>
          <w:b/>
          <w:sz w:val="28"/>
          <w:szCs w:val="28"/>
        </w:rPr>
        <w:t xml:space="preserve">аждан в туристских услугах.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увеличение количества и улучшение качества КСР;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обеспечение роста занятости и благосостояния населения, вовлеченного в туризм и смежные сектора экономики;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3) создание и развитие турист</w:t>
      </w:r>
      <w:r>
        <w:rPr>
          <w:rFonts w:ascii="Times New Roman" w:hAnsi="Times New Roman" w:cs="Times New Roman"/>
          <w:bCs/>
          <w:sz w:val="28"/>
          <w:szCs w:val="28"/>
        </w:rPr>
        <w:t xml:space="preserve">ских </w:t>
      </w:r>
      <w:r>
        <w:rPr>
          <w:rFonts w:ascii="Times New Roman" w:hAnsi="Times New Roman" w:cs="Times New Roman"/>
          <w:bCs/>
          <w:sz w:val="28"/>
          <w:szCs w:val="28"/>
        </w:rPr>
        <w:t xml:space="preserve">дестинаций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Забайкальского края;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</w:t>
      </w:r>
      <w: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развитие промышленного туризма.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Разработана стратегия развития промышленного туризма Забайкальского края. Потенциальные участники: ООО «</w:t>
      </w:r>
      <w:r>
        <w:rPr>
          <w:rFonts w:ascii="Times New Roman" w:hAnsi="Times New Roman" w:cs="Times New Roman"/>
          <w:bCs/>
          <w:sz w:val="28"/>
          <w:szCs w:val="28"/>
        </w:rPr>
        <w:t xml:space="preserve">Нергеопром</w:t>
      </w:r>
      <w:r>
        <w:rPr>
          <w:rFonts w:ascii="Times New Roman" w:hAnsi="Times New Roman" w:cs="Times New Roman"/>
          <w:bCs/>
          <w:sz w:val="28"/>
          <w:szCs w:val="28"/>
        </w:rPr>
        <w:t xml:space="preserve">»; АО «Читинские ключи»; ООО «ГРК Быстринское»; АО «Ново-</w:t>
      </w:r>
      <w:r>
        <w:rPr>
          <w:rFonts w:ascii="Times New Roman" w:hAnsi="Times New Roman" w:cs="Times New Roman"/>
          <w:bCs/>
          <w:sz w:val="28"/>
          <w:szCs w:val="28"/>
        </w:rPr>
        <w:t xml:space="preserve">Широкинский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р</w:t>
      </w:r>
      <w:r>
        <w:rPr>
          <w:rFonts w:ascii="Times New Roman" w:hAnsi="Times New Roman" w:cs="Times New Roman"/>
          <w:bCs/>
          <w:sz w:val="28"/>
          <w:szCs w:val="28"/>
        </w:rPr>
        <w:t xml:space="preserve">удник»; АО «Восток»; ИП Хан Э.Б.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Для создания в 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Забайкальском крае высокоразвитой, конкурентоспособной туристской индустрии, удовлетворяющей потребности жителей и гостей края, реализация таких проектов как: «Этно-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археопарк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«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Сухотино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», г. Чита»; «Санаторно-курортный комплекс «Кука», Читинский район»; «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Ив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ано-Арахлейский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туристический кластер, Читинский район», «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Автотуристический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 кластер Агинского Бурятского округа», «Исторический квартал, г. Чита», «Ленд-арт парк «Тужи», Хилокский район», и т.д. поможет развить туристические дестинации Забайкальского края.</w:t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color w:val="0d0d0d" w:themeColor="text1" w:themeTint="F2"/>
          <w:sz w:val="28"/>
          <w:szCs w:val="28"/>
        </w:rPr>
        <w:t xml:space="preserve">Участие в реализации национальных проектов «Туризм </w:t>
      </w:r>
      <w:r>
        <w:rPr>
          <w:rFonts w:ascii="Times New Roman" w:hAnsi="Times New Roman" w:cs="Times New Roman"/>
          <w:bCs/>
          <w:sz w:val="28"/>
          <w:szCs w:val="28"/>
        </w:rPr>
        <w:t xml:space="preserve">и индустрия гостеприимства», «Малое и среднее предпринимательство и поддержка индивидуальной предпринимательской инициативы», Национальной программы развития Дальнего Востока» позволит увеличить количеств</w:t>
      </w:r>
      <w:r>
        <w:rPr>
          <w:rFonts w:ascii="Times New Roman" w:hAnsi="Times New Roman" w:cs="Times New Roman"/>
          <w:bCs/>
          <w:sz w:val="28"/>
          <w:szCs w:val="28"/>
        </w:rPr>
        <w:t xml:space="preserve">о и улучшить качество коллективных средств размещения.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Ожидаемые результаты в 2030 году: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численность размещенных лиц в КСР – 469 тыс. человек;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общее число КСР – 280 единиц;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3) доля классифицированных КСР – 90 %;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4) туристический въездной поток со стороны КНР – 90 тыс. человек.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1) число туристов – 841,4 тыс. человек;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2) совокупные траты туристов – не менее 22,3 млрд рублей.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159" w:line="240" w:lineRule="auto"/>
        <w:ind w:left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83" w:name="_Toc204259676"/>
      <w:r>
        <w:rPr>
          <w:rFonts w:ascii="Times New Roman" w:hAnsi="Times New Roman"/>
          <w:b/>
          <w:sz w:val="28"/>
          <w:szCs w:val="28"/>
        </w:rPr>
        <w:t xml:space="preserve">5.6. Агропромышленный комплекс</w:t>
      </w:r>
      <w:bookmarkEnd w:id="83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Целью направления является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устойчивое развитие животноводства, растениеводства, пищевой и перерабатывающей промышленности, повышение конкурентоспособности сельскохозяйственной продукции, сырья и продовольствия, усиление продовольственной безопасности за счет модернизации производст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ва, развития научной и инновационной направленности (генетика и селекция), развития экспорта продукции агропромышленного комплекса, обеспечения эффективного вовлечения в оборот и управления землями сельскохозяйственного назначения, воспроизводства плодород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ия земель сельскохозяйственного назначения, цифровой трансформации.</w:t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1) увеличение производства основных видов сельскохозяйственной продукции, сырья и продовольствия;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2) развитие конкуренции, кооперации, интеграционных и межрегиональных связей;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3) развитие и укрепление материально-технической базы сети ветеринарных учреждений, повышение квалификации специалистов, 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разъяснительные кампании для производителей сельскохозяйс</w:t>
      </w: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твенной продукции по повышению осведомлённости о важности проведения ветеринарных профилактических мероприятий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4) наращивание экспорта сельскохозяйственной продукции, сырья и продовольствия;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5) улучшение жилищных условий сельских граждан и повышение уровня</w:t>
      </w:r>
      <w:r>
        <w:rPr>
          <w:rFonts w:ascii="Times New Roman" w:hAnsi="Times New Roman" w:eastAsia="Calibri" w:cs="Times New Roman"/>
          <w:sz w:val="28"/>
          <w:szCs w:val="28"/>
        </w:rPr>
        <w:t xml:space="preserve"> социально-инженерного обустройства села.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numPr>
          <w:numId w:val="15"/>
          <w:ilvl w:val="0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обрабатываемой пашни не менее, чем на 30 %;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5"/>
          <w:ilvl w:val="0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производства продукции сельского хозяйства в хозяйствах всех категорий (в сопоставимых ценах) на 20,7 % к уровню 2</w:t>
      </w:r>
      <w:r>
        <w:rPr>
          <w:rFonts w:ascii="Times New Roman" w:hAnsi="Times New Roman"/>
          <w:sz w:val="28"/>
          <w:szCs w:val="28"/>
        </w:rPr>
        <w:t xml:space="preserve">021 года;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5"/>
          <w:ilvl w:val="0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увеличение производства пищевых продуктов в хозяйствах всех категорий (в сопоставимых ценах) на 10,4 % к уровню 2021 года;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5"/>
          <w:ilvl w:val="0"/>
        </w:numPr>
        <w:spacing w:after="0" w:line="240" w:lineRule="auto"/>
        <w:ind w:left="142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Обеспечение уровня сохранности поголовья сельскохозяйственных животных не менее 98 %,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159" w:line="240" w:lineRule="auto"/>
        <w:ind w:left="0"/>
        <w:jc w:val="center"/>
        <w:outlineLvl w:val="2"/>
        <w:rPr>
          <w:color w:val="c45911" w:themeColor="accent2" w:themeShade="BF"/>
        </w:rPr>
      </w:pPr>
      <w:bookmarkStart w:id="84" w:name="_Toc204259677"/>
      <w:r>
        <w:rPr>
          <w:rFonts w:ascii="Times New Roman" w:hAnsi="Times New Roman"/>
          <w:b/>
          <w:sz w:val="28"/>
          <w:szCs w:val="28"/>
        </w:rPr>
        <w:t xml:space="preserve">5.7. Научно-технологическое развитие</w:t>
      </w:r>
      <w:bookmarkEnd w:id="84"/>
      <w:r>
        <w:rPr>
          <w:color w:val="c45911" w:themeColor="accent2" w:themeShade="BF"/>
        </w:rPr>
      </w:r>
      <w:r>
        <w:rPr>
          <w:color w:val="c45911" w:themeColor="accent2" w:themeShade="BF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ускорения инновационного развития региона необходим стратегический подход, основанный на определении приоритетных направлений 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учных исследований, поддерживаемых на уровне региона и комплексном решении проблем, затрагивающих финансирование, модернизацию инфраструктуры, привлечение кадров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укрепление связей между наукой и бизнесом.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Приоритеты научно-технологического развития Заб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айкальского края </w:t>
      </w:r>
      <w:r>
        <w:rPr>
          <w:rFonts w:ascii="Times New Roman" w:hAnsi="Times New Roman" w:cs="Times New Roman"/>
          <w:sz w:val="28"/>
          <w:szCs w:val="28"/>
        </w:rPr>
        <w:t xml:space="preserve">определены в соответствии с федеральными документами стратегического планирования: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национальной безопасности Российской Федерации, в которой научно-технологическое развитие обозначено в качестве одного из 9 стратегических национа</w:t>
      </w:r>
      <w:r>
        <w:rPr>
          <w:rFonts w:ascii="Times New Roman" w:hAnsi="Times New Roman" w:cs="Times New Roman"/>
          <w:sz w:val="28"/>
          <w:szCs w:val="28"/>
        </w:rPr>
        <w:t xml:space="preserve">льных приоритетов и ключевого фактора повышения конкурентоспособности и обеспечения национальной безопасности;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Стратегия научно-технологического развития Российской Федерации</w:t>
      </w:r>
      <w: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достижения национальных целей развития страны, целью которой является</w:t>
      </w:r>
      <w:r>
        <w:rPr>
          <w:rFonts w:ascii="Arial" w:hAnsi="Arial" w:cs="Arial"/>
          <w:b/>
          <w:bCs/>
          <w:color w:val="333333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обеспечение независимости и конкурентоспособности государства, достижение национальных целей развития и реализация стратегических национальных приоритетов путём создания эффективной системы наращивания и наиболее полного использования интеллектуального пот</w:t>
      </w:r>
      <w:r>
        <w:rPr>
          <w:rFonts w:ascii="Times New Roman" w:hAnsi="Times New Roman" w:cs="Times New Roman"/>
          <w:sz w:val="28"/>
          <w:szCs w:val="28"/>
        </w:rPr>
        <w:t xml:space="preserve">енциала нации;</w:t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Приоритетные направления научно-технологического развития Российской Федерации: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высокоэффективная и ресурсосберегающая энергетика;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превентивная и персонализированная медицина, обеспечение здорового долголетия;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высокопродуктивное и устойчивое</w:t>
      </w:r>
      <w:r>
        <w:rPr>
          <w:sz w:val="28"/>
          <w:szCs w:val="28"/>
        </w:rPr>
        <w:t xml:space="preserve"> к изменениям природной среды сельское хозяйство;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получения, хранения, передачи и обработки информации;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интеллектуальные транспортные и телекоммуникационные системы, включая автономные транспортные средства;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укрепление социокультурной идентичн</w:t>
      </w:r>
      <w:r>
        <w:rPr>
          <w:sz w:val="28"/>
          <w:szCs w:val="28"/>
        </w:rPr>
        <w:t xml:space="preserve">ости российского общества и повышение уровня его образования;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154"/>
        <w:shd w:val="clear" w:color="auto" w:fill="ffffff"/>
        <w:tabs>
          <w:tab w:val="left" w:pos="993" w:leader="none"/>
        </w:tabs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адаптация к изменениям климата, сохранение и рациональное использование природных ресурсов;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пространственного развития Российской Федерации: основные направления развития Дальневосточного федерального округа, одним из которых определено обеспечение роста выпуска продукции </w:t>
      </w:r>
      <w:r>
        <w:rPr>
          <w:rFonts w:ascii="Times New Roman" w:hAnsi="Times New Roman" w:cs="Times New Roman"/>
          <w:sz w:val="28"/>
          <w:szCs w:val="28"/>
        </w:rPr>
        <w:t xml:space="preserve">экспортно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ориентированных, а также наукоемких и высокотехнологичн</w:t>
      </w:r>
      <w:r>
        <w:rPr>
          <w:rFonts w:ascii="Times New Roman" w:hAnsi="Times New Roman" w:cs="Times New Roman"/>
          <w:sz w:val="28"/>
          <w:szCs w:val="28"/>
        </w:rPr>
        <w:t xml:space="preserve">ых отраслей, синхронизированный с развитием науки и образования и обеспечивающий конкурентоспособность Дальневосточного федерального округа в масштабах Российской Федерации и Азиатско-Тихоокеанского региона.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с учетом национальных приоритетов</w:t>
      </w:r>
      <w:r>
        <w:rPr>
          <w:rFonts w:ascii="Times New Roman" w:hAnsi="Times New Roman" w:cs="Times New Roman"/>
          <w:sz w:val="28"/>
          <w:szCs w:val="28"/>
        </w:rPr>
        <w:t xml:space="preserve"> и отраслевой специфики экономики региона определены приоритетные направления научно-технологического развития Забайкальского края: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недропользование и </w:t>
      </w:r>
      <w:r>
        <w:rPr>
          <w:rFonts w:ascii="Times New Roman" w:hAnsi="Times New Roman" w:cs="Times New Roman"/>
          <w:sz w:val="28"/>
          <w:szCs w:val="28"/>
        </w:rPr>
        <w:t xml:space="preserve">геотехнологии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транспортно-логистические системы;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биомедицина;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гуманитарные технологии;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креативные индуст</w:t>
      </w:r>
      <w:r>
        <w:rPr>
          <w:rFonts w:ascii="Times New Roman" w:hAnsi="Times New Roman" w:cs="Times New Roman"/>
          <w:sz w:val="28"/>
          <w:szCs w:val="28"/>
        </w:rPr>
        <w:t xml:space="preserve">рии;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устойчивое к изменениям природной среды сельское хозяйство;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адаптация к изменениям климата;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сохранение и рациональное использование природных ресурсов;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высокоэффективная энергетика.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Целью научно-технологического развития Забайкальского края является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научно-техническое и интеллектуальное обеспечение структурных изменений в региональной экономике.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сформировать эффективную систему взаимодействия науки, технологий, производства и осуществления инвестиций;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создать инфраструктуру и условия для проведения научных исследований и разработок, внедрения наукоемких технологий, инноваций и развития технологического предпринимательства;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создать возможности для выявления и воспитания талантливой молодежи, построения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спешной карьеры в области науки, технологий и технологического предпринимательства;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обеспечить сохранение и развитие интеллектуального потенциала науки, повышение престижа профессии ученого и инженера, популяризацию научной деятельности;</w: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spacing w:after="159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сформировать модел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межрегионального, международного научно-технического сотрудничества и международной интеграции в области научных исследований и разработок.</w:t>
      </w:r>
      <w:r>
        <w:rPr>
          <w:rFonts w:ascii="Times New Roman" w:hAnsi="Times New Roman" w:cs="Times New Roman"/>
          <w:sz w:val="28"/>
          <w:szCs w:val="28"/>
          <w:lang w:eastAsia="ru-RU"/>
        </w:rPr>
      </w:r>
      <w:r>
        <w:rPr>
          <w:rFonts w:ascii="Times New Roman" w:hAnsi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Достижение цели и реализация задач научно-технологического развития Забайкальского края предусматривается за счет: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создания институтов развития науки и технологий, в том числе регионального фонда развития науки и инноваций, венчурного фонда для финансирования технологических стартапов, центра продвижения результатов интеллектуальной деятельности и трансфера технологий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, реализации проектов создания межвузовского кампуса в Забайкальском крае;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реализации деятельности научно-образовательного центра мирового уровня «Забайкалье»;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разработки и реализации социальной программы для привлечения научных сотрудников, в том числе молодых специалистов;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оказания мер поддержки организаций, занимающихся НИОКР, возмещения части затрат бизнеса на НИОКР, формирования механизма квалифицированного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заказа на НИОКР;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реализации мероприятий Десятилетия науки и технологий;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увеличения затрат бюджета региона на научную и инновационную деятельность путем приоритезации расходов в рамках государственных программ на цели научно-технологического развития края;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за счет создания объектов инфраструктуры, способствующих получению и внедрению результатов научных исследований и разработок (технопарков, индустриальных (промышленных) парков, центров коллективного пользования, промышленных кластеров);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усиления деятельнос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ти регионального представительства Фонда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содействия инновациям</w:t>
      </w:r>
      <w:r>
        <w:rPr>
          <w:rFonts w:ascii="Times New Roman" w:hAnsi="Times New Roman" w:cs="Times New Roman"/>
          <w:sz w:val="28"/>
          <w:szCs w:val="28"/>
        </w:rPr>
        <w:t xml:space="preserve">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мероприятий по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популяризации научной деятельности в регионе;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предоставления грантов для реализации инновационных проектов;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76" w:lineRule="auto"/>
        <w:ind w:firstLine="540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переориентация региональных грантов РНФ на прикладные иссл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едование и увеличение количества участников в конкурсах грантов РНФ по всем направлениям;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159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ориентации высшего образования на рост вклада в научно-технологическое развитие региона и эффективное воспроизводство кадров для науки, социальной сферы и отраслей э</w:t>
      </w:r>
      <w:r>
        <w:rPr>
          <w:rFonts w:ascii="Times New Roman" w:hAnsi="Times New Roman" w:cs="Times New Roman"/>
          <w:sz w:val="28"/>
          <w:szCs w:val="28"/>
        </w:rPr>
        <w:t xml:space="preserve">кономики.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результаты к 2035 году: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внутренние затраты на исследования и разработки за счет всех источников в текущих ценах, в процентах валового внутреннего продукта – 0,5% – к 2030 году, 1,0 % – к 2035 году;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молодых ученых (исследователей) </w:t>
      </w:r>
      <w:r>
        <w:rPr>
          <w:rFonts w:ascii="Times New Roman" w:hAnsi="Times New Roman" w:cs="Times New Roman"/>
          <w:sz w:val="28"/>
          <w:szCs w:val="28"/>
        </w:rPr>
        <w:t xml:space="preserve">в общей численности ученых – 10 % к 2030 году, 15 % к 2035 году;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техническая вооруженность сектора исследований и разработок (балансовая стоимость машин и оборудования в расчете на одного исследователя) – 3000,0 тыс. руб./чел. – </w:t>
      </w:r>
      <w:bookmarkStart w:id="85" w:name="undefined"/>
      <w:r>
        <w:rPr>
          <w:rFonts w:ascii="Times New Roman" w:hAnsi="Times New Roman" w:cs="Times New Roman"/>
          <w:sz w:val="28"/>
          <w:szCs w:val="28"/>
        </w:rPr>
        <w:t xml:space="preserve">к 2030 году</w:t>
      </w:r>
      <w:bookmarkEnd w:id="85"/>
      <w:r>
        <w:rPr>
          <w:rFonts w:ascii="Times New Roman" w:hAnsi="Times New Roman" w:cs="Times New Roman"/>
          <w:sz w:val="28"/>
          <w:szCs w:val="28"/>
        </w:rPr>
        <w:t xml:space="preserve">, 3600 тыс. руб.</w:t>
      </w:r>
      <w:r>
        <w:rPr>
          <w:rFonts w:ascii="Times New Roman" w:hAnsi="Times New Roman" w:cs="Times New Roman"/>
          <w:sz w:val="28"/>
          <w:szCs w:val="28"/>
        </w:rPr>
        <w:t xml:space="preserve">/чел. – к 2035 году;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институт развития науки и технологий, региональный Фонд развития науки и инноваций, центр распространения знаний, центр коллективного пользования (для обсуждения, считаем, что их нужно как-то обозначить в ожидаемых результатах под зада</w:t>
      </w:r>
      <w:r>
        <w:rPr>
          <w:rFonts w:ascii="Times New Roman" w:hAnsi="Times New Roman" w:cs="Times New Roman"/>
          <w:sz w:val="28"/>
          <w:szCs w:val="28"/>
        </w:rPr>
        <w:t xml:space="preserve">чу № 2) – 5 – к 2030 году, 7 – к 2035 году;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число заявок заявителей на выдачу патентов (изобретения, полезные модели, промышленные образцы), свидетельств о государственной регистрации РИД (программы ЭВМ, базы данных) – 100 ед. к 2030 году, 120 ед. к 2035 г</w:t>
      </w:r>
      <w:r>
        <w:rPr>
          <w:rFonts w:ascii="Times New Roman" w:hAnsi="Times New Roman" w:cs="Times New Roman"/>
          <w:sz w:val="28"/>
          <w:szCs w:val="28"/>
        </w:rPr>
        <w:t xml:space="preserve">оду,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 них переданных в производство – 15 и 20% соответственно;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публикаций, индексируемых в ядре РИНЦ, в журналах «Белого списка» – 100 ед. к 2030 году, 120 ед. к 2035 году;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продукции высокотехнологичных и наукоемких отраслей в ВРП – 20% к 2030 году, 25% к 2035%;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159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прирост объема выручки малых технологиче</w:t>
      </w:r>
      <w:r>
        <w:rPr>
          <w:rFonts w:ascii="Times New Roman" w:hAnsi="Times New Roman" w:cs="Times New Roman"/>
          <w:sz w:val="28"/>
          <w:szCs w:val="28"/>
        </w:rPr>
        <w:t xml:space="preserve">ских компаний к уровню 2023 года – 150%.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pPr>
      <w:bookmarkStart w:id="86" w:name="_Toc204259678"/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  <w:highlight w:val="green"/>
        </w:rPr>
      </w:r>
    </w:p>
    <w:p>
      <w:pPr>
        <w:pStyle w:val="1038"/>
        <w:spacing w:after="0" w:line="240" w:lineRule="auto"/>
        <w:ind w:left="0"/>
        <w:jc w:val="center"/>
        <w:outlineLvl w:val="2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5.8. Внешнеэкономическая деятельность</w:t>
      </w:r>
      <w:bookmarkEnd w:id="86"/>
      <w:r>
        <w:rPr>
          <w:rFonts w:ascii="Times New Roman" w:hAnsi="Times New Roman"/>
          <w:b/>
          <w:color w:val="0d0d0d" w:themeColor="text1" w:themeTint="F2"/>
          <w:sz w:val="28"/>
          <w:szCs w:val="28"/>
        </w:rPr>
      </w:r>
      <w:r>
        <w:rPr>
          <w:rFonts w:ascii="Times New Roman" w:hAnsi="Times New Roman"/>
          <w:b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Несмотря на заметный рост оборота внешней торговли — в 2024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 году показатель достиг 823,4 млрд рублей, что на 14 % больше уровня предыдущего года — Забайкальский край всё ещё не восстановил 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доковидный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 максимум 2019 года (1 149,3 млрд рублей). Столь существенная «просадка» объясняется не только мировыми ценовыми кол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ебаниями, но и хронической 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моноконцентрацией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: доля Китая в торговом обороте составляет 95,6 %. Это означает, что любое изменение таможенных процедур или логистической ситуации на китайской стороне мгновенно отражается на хозяйственной активности в регионе.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Другая уязвимость — узость номенклатуры поставок. Несырьевой неэнергетический экспорт (ННЭ) пока остаётся ниже 7 % общей экспортной корзины. После резкого «отскока» 2021 года, когда ННЭ удвоился из-за отложенного 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пандемийного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 спроса, последовал столь же р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езкий спад в 2022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noBreakHyphen/>
        <w:t xml:space="preserve">м. К концу 2024 года показатель лишь вышел на уровень 104 % к 2018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noBreakHyphen/>
        <w:t xml:space="preserve">му, что говорит о стагнации. Усугубляет ситуацию и ресурсная ёмкость логистики: пропускная способность автомобильных переходов пока ограничена 1,7 тыс. автомобилей в сутки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, тогда как расчётная потребность бизнеса приближается к 5,5 тыс.</w:t>
      </w: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Целью направления является формирование к 2035 году устойчивой и диверсифицированной структуры внешнеторговых связей, способной вносить значимый вклад в реализацию национальной цели «Лидерст</w:t>
      </w: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  <w:t xml:space="preserve">во по несырьевому экспорту».</w:t>
      </w: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Под устойчивостью понимается снижение зависимостей от одного внешнего рынка и одной товарной группы, а под диверсификацией — расширение географии поставок, продуктовой линейки и вовлечение экспорт ориентированного сектора услуг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  <w:t xml:space="preserve">. В результате край должен превратиться из «рулонного» экспортёра сырьевых потоков в центр сборки и продвижения продукции глубокой переработки, логистических и цифровых услуг для рынков БРИКС+, Юго-Восточной Азии, стран Ближнего Востока и Африки.</w:t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Основной задачей для достижения стратегической цели 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является формирование к 2035 году устойчивой и диверсифицированной структуры внешнеторговых связей, способной вносить значимый вклад в реализацию национальной цели «Лидерство по несырьевому экспорту». Под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 устойчивостью понимается снижение зависимостей от одного внешнего рынка и одной товарной группы, а под диверсификацией — расширение географии поставок, продуктовой линейки и вовлечение экспорт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noBreakHyphen/>
        <w:t xml:space="preserve">ориентированного сектора услуг. В результате край должен превр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t xml:space="preserve">атиться из «рулонного» экспортёра сырьевых потоков в центр сборки и продвижения продукции глубокой переработки, логистических и цифровых услуг для рынков БРИКС+, Юго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  <w:noBreakHyphen/>
        <w:t xml:space="preserve">Восточной Азии, стран Ближнего Востока и Африки.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  <w:lang w:eastAsia="ru-RU"/>
        </w:rPr>
      </w:r>
    </w:p>
    <w:p>
      <w:pPr>
        <w:spacing w:before="100" w:beforeAutospacing="1" w:after="100" w:afterAutospacing="1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Индикативная динамика ННЭЭ (база 2025 г.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= 100 %, в руб.)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tbl>
      <w:tblPr>
        <w:tblW w:w="937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CellMar>
          <w:left w:w="15" w:type="dxa"/>
          <w:top w:w="15" w:type="dxa"/>
          <w:right w:w="15" w:type="dxa"/>
          <w:bottom w:w="15" w:type="dxa"/>
        </w:tblCellMar>
        <w:tblLook w:val="04A0" w:firstRow="1" w:lastRow="0" w:firstColumn="1" w:lastColumn="0" w:noHBand="0" w:noVBand="1"/>
      </w:tblPr>
      <w:tblGrid>
        <w:gridCol w:w="1291"/>
        <w:gridCol w:w="734"/>
        <w:gridCol w:w="735"/>
        <w:gridCol w:w="734"/>
        <w:gridCol w:w="735"/>
        <w:gridCol w:w="734"/>
        <w:gridCol w:w="735"/>
        <w:gridCol w:w="734"/>
        <w:gridCol w:w="735"/>
        <w:gridCol w:w="734"/>
        <w:gridCol w:w="735"/>
        <w:gridCol w:w="735"/>
      </w:tblGrid>
      <w:tr>
        <w:trPr/>
        <w:tblPrEx/>
        <w:tc>
          <w:tcPr>
            <w:tcW w:w="129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2025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2026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2027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2028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2029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2030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2031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2032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2033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2034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  <w:t xml:space="preserve">2035</w:t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lang w:eastAsia="ru-RU"/>
              </w:rPr>
            </w:r>
          </w:p>
        </w:tc>
      </w:tr>
      <w:tr>
        <w:trPr/>
        <w:tblPrEx/>
        <w:tc>
          <w:tcPr>
            <w:tcW w:w="129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% к базе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100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109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116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120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127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132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135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  <w:tr>
        <w:trPr/>
        <w:tblPrEx/>
        <w:tc>
          <w:tcPr>
            <w:tcW w:w="129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Объём, млрд. руб.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54,6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56,8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59,5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61,7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63,3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65,6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67,7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69,4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71,0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72,1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tcW w:w="735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8"/>
                <w:szCs w:val="28"/>
                <w:lang w:eastAsia="ru-RU"/>
              </w:rPr>
              <w:t xml:space="preserve">73,7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/>
          <w:bCs/>
          <w:color w:val="0d0d0d" w:themeColor="text1" w:themeTint="F2"/>
          <w:sz w:val="28"/>
          <w:szCs w:val="28"/>
          <w:lang w:eastAsia="ru-RU"/>
        </w:rPr>
        <w:t xml:space="preserve">Внешнеторговый оборот</w:t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eastAsia="Times New Roman"/>
          <w:bCs/>
          <w:color w:val="0d0d0d" w:themeColor="text1" w:themeTint="F2"/>
          <w:sz w:val="28"/>
          <w:szCs w:val="28"/>
          <w:lang w:eastAsia="ru-RU"/>
        </w:rPr>
        <w:t xml:space="preserve">≈ 1 146,1 млрд руб.</w:t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t xml:space="preserve">; ННЭ ≥ 73,7 млрд; экспорт услуг ≥ 16,8 млрд.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/>
          <w:bCs/>
          <w:color w:val="0d0d0d" w:themeColor="text1" w:themeTint="F2"/>
          <w:sz w:val="28"/>
          <w:szCs w:val="28"/>
          <w:lang w:eastAsia="ru-RU"/>
        </w:rPr>
        <w:t xml:space="preserve">Инфраструктура</w:t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t xml:space="preserve"> – +4,4 раза к 2024 г.; 35 % грузопотока через хаб.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/>
          <w:bCs/>
          <w:color w:val="0d0d0d" w:themeColor="text1" w:themeTint="F2"/>
          <w:sz w:val="28"/>
          <w:szCs w:val="28"/>
          <w:lang w:eastAsia="ru-RU"/>
        </w:rPr>
        <w:t xml:space="preserve">Компетенции</w:t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t xml:space="preserve"> – ≥ 500 МСП</w:t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noBreakHyphen/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t xml:space="preserve">экспортёров; 18 % инновационных товаров; 2 вуза с магистратурой ВЭД.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/>
          <w:bCs/>
          <w:color w:val="0d0d0d" w:themeColor="text1" w:themeTint="F2"/>
          <w:sz w:val="28"/>
          <w:szCs w:val="28"/>
          <w:lang w:eastAsia="ru-RU"/>
        </w:rPr>
        <w:t xml:space="preserve">Инвестиции</w:t>
      </w:r>
      <w:r>
        <w:rPr>
          <w:rFonts w:ascii="Times New Roman" w:hAnsi="Times New Roman" w:eastAsia="Times New Roman"/>
          <w:color w:val="0d0d0d" w:themeColor="text1" w:themeTint="F2"/>
          <w:sz w:val="28"/>
          <w:szCs w:val="28"/>
          <w:lang w:eastAsia="ru-RU"/>
        </w:rPr>
        <w:t xml:space="preserve"> – ≥ 94,5 млрд. руб. ПИИ.</w:t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bCs/>
          <w:i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 w:clear="all"/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1"/>
        <w:ind w:firstLine="709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87" w:name="_Toc204259679"/>
      <w:r>
        <w:rPr>
          <w:rFonts w:ascii="Times New Roman" w:hAnsi="Times New Roman" w:cs="Times New Roman"/>
          <w:b/>
          <w:bCs/>
          <w:sz w:val="28"/>
          <w:szCs w:val="28"/>
        </w:rPr>
        <w:t xml:space="preserve">6. СБАЛАНСИРОВАННОЕ ПРОСТРАНСТВЕННОЕ РАЗВИТИЕ</w:t>
      </w:r>
      <w:bookmarkEnd w:id="87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Наблюдается устойчивый рост экономики Забайкальского края. В период с 2023 по 2024 годы наблюдалась положительная динамика по индексу физического объема ВРП: в 2023 году прирост 106,1% к уровню 2022 года; в 2024 году прирост 108,7% к предыдущему году.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Суще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ственный вклад в экономику края вносят муниципальные образования, в которых расположены крупные добывающие минерально-сырьевые компании.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Среди муниципальных образований, находящихся на приграничной территории Забайкальского края, самый большой вклад по отг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рузкам товаров собственного производства и выполнении работ собственными силами вносят Газимуро-заводской, Могочинский и Краснокаменский муниципальные округа.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  <w:highlight w:val="gree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Несмотря на положительную динамику в экономике Забайкальского края наблюдается снижение численнос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 населения ежегодно в период с 2020 по 2024 годы. Большая часть жителей края сконцентрирована в городе Чита (33,6% от всего населения) также значительная доля населения находится в Читинском районе (7,2% от всего населения) и Краснокаменском муниципально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 округе и городе Краснокаменск (5,6 % от всего населения). Основной проблемой края является сокращение доли жителей и снижение плотности населения в сельской местности, в следствии миграции населения и его концентрации в городах и городских агломерациях.</w:t>
      </w:r>
      <w:r>
        <w:rPr>
          <w:rFonts w:ascii="Times New Roman" w:hAnsi="Times New Roman" w:eastAsia="Times New Roman" w:cs="Times New Roman"/>
          <w:sz w:val="28"/>
          <w:szCs w:val="28"/>
          <w:highlight w:val="green"/>
        </w:rPr>
      </w:r>
      <w:r>
        <w:rPr>
          <w:rFonts w:ascii="Times New Roman" w:hAnsi="Times New Roman" w:eastAsia="Times New Roman" w:cs="Times New Roman"/>
          <w:sz w:val="28"/>
          <w:szCs w:val="28"/>
          <w:highlight w:val="green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Целью направления является формирование сбалансированной системы расселения и территориальной организации экономики которое будет способствовать достижению национальных целей и обеспечению национальной безопасности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1. Формирование сбалансированной территориальной организации экономики, способствующей увеличению производства товаров и услуг для внутреннего рынка и рост добавленной стоимости, создаваемой в экономике края;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а) обеспеч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ение опережающего развития инфраструктуры (в том числе транспортной и энергетической) в опорных населенных пунктах, в которых реализуются новые инвестиционные проекты, существенно влияющие на экономику края;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б) раскрытия экономического потенциала, обеспече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ния научно-технологического и инновационного развития городских агломераций, в том числе посредством развития необходимых транспортной, энергетической и социа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льной инфраструктур;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повышения качества переработки минерального сырья и древесины;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обеспече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ние приоритетной поддержки проектов высокотехнологических и наукоемких отраслей производства товаров, услуг, а также творческих (креативных) индустрий; </w:t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поддержки совместных проектов участников промышленных кластеров по организации производства новых ви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дов сырья, материалов и комплектующих изделий в целях усиления производственной кооперации;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е) развитие сотрудничества муниципальных образований с приграничными государствами, включая Китайскую Народную Республику, Монголию.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2. Создание условий для роста ч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исленности населения и рождаемости за счет: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а) обеспечения приоритетной поддержки предприятий, реализующих собственные программы поддержки семей сотрудников, включая создание рабочих мест для многодетных родителей;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б) повышения доступности для населения ме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дицинской помощи, общего образования и среднего профессионального образования, услуг организаций культуры и ф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изкультурно-спортивных организаций.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3. Создание условий для обеспечения устойчивости системы расселения, включая условия для прекращения оттока пос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тоянно проживающего населения из регионов Дальнего Востока и Арктики, малых и средних городов, сельских территорий, за счет: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повышения кадровой обеспеченности медицинских, образовательных организаций, организаций культуры, физкультурно-спортивных органи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заций, расположенных в сельских населенных пунктах (в первую очередь являющихся опорными населенными пунктами), а также поддержки создания мест приложения труда на указанных территориях;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поддержки приграничных муниципальных образований посредством разви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тия расположенных на их территориях опорных населенных пунктов, обеспечивающих национальную безопасность Российской Федерации;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недопущения оттока и поддержания качества жизни населения приграничных муниципальных образований, примыкающих к государственной границе Российской Федерации;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повышения уровня благоустройства, обеспечения коммунальной инфраструктурой, в том числе цент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ральным водоснабжением и водоотведением, энергоснабжением опорных населенных пунктов;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формирования территорий экологического благополучия посредством реализации мероприятий по сохранению и восстановлению природной среды, обеспечению качества окружающей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среды, необходимого для комфортной и безопасной жизни человека, а также устойчивого развития экономики;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е) содействия переселению граждан, проживающих в зонах опасного воздействия на жизнедеятельность людей, (зоны затопления, подтопления, зоны загрязнения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опасными для человека химическими элементами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др.);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ж) повышения безопасности среды для жизнедеятельности населения, включая создание условий по обеспечению правопорядка, в том числе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посредством организации функционирования участковых пунктов полиции в 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аселенных пунктах в соответствии с законодательством и нормативными правовыми актами.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4. Создание условий для снижения рисков дефицита кадров для обеспечения экономического роста территорий Российской Федерации за счет: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стимулирования трудовой мобильнос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ти с учетом кадровых потребностей территорий, в том числе путем: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реализации мер государственной поддержки за счет средств федерального и региональных бюджетов, направленных на повышение трудовой мобильности;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развития современного фонда арендного жиль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я в субъектах Российской Федерации с использованием механизмов коммерческой, корпоративной, адресной льготной аренды;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обеспечения транспортной связанности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трудоизбыточных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трудодефицитных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территорий, в том числе развития малой и среднемагистральной ави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ации для обеспечения потребностей удаленных территорий в рабочей силе вахтовым методом.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5. Сокращение уровня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внутрирегиональной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дифференциации в социально-экономическом развитии субъектов Российской Федерации за счет: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а) повышения уровня бюджетной обеспече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нности муниципальных образований, а также их самостоятельности в решении задач социально-экономического развития;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б) расширения и повышения эффективности использования инструментов возвратной финансовой поддержки на инфраструктурное развитие;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в) реализации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индивидуальных программ социально-экономического развития приграничных муниципальных образований;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г) перехода к одноуровневой системе муниципального устройства на территориях с низкой плотностью населения при сохранении в случае необходимости в бывших цен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трах сельских и городских поселений территориальных отделов администрации городского или муниципального округа, а также необходимой социальной инфраструктуры;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д) содействия диверсификации занятости и расширения поддержки инициатив населения в сфере предпри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нимательства, в том числе в сельской местности;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е) синхронизации планов инфраструктурного развития между исполнительными органами и муниципальными образованиями Забайкальского края;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ж) обеспечение развития населенных пунктов (включая моногорода), в которых имеются риски ухудшения социально-экономическог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 положения;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з) удовлетворения социальных запросов населения в части создания высококвалифицированных рабочих мест, рекреационных потребностей, туризма, интересов коренного и малочисленного населения.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направления пространственного развития Забайка</w:t>
      </w:r>
      <w:r>
        <w:rPr>
          <w:rFonts w:ascii="Times New Roman" w:hAnsi="Times New Roman" w:cs="Times New Roman"/>
          <w:sz w:val="28"/>
          <w:szCs w:val="28"/>
        </w:rPr>
        <w:t xml:space="preserve">льского края: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транспортная инфраструктура;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энергетический комплекс;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жилищно-коммунальное хозяйство и благоустройство;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информационно-телекоммуникационная инфраструктура;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территориальная организация оказания услуг отраслей социальной сферы;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left="284" w:firstLine="42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социально-экономическое развитие Агинского Бурятского округа Забайкальского края;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Ключевые целевые показатели по данному приоритету развития к 2035 году: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3"/>
          <w:ilvl w:val="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общая площадь жилых помещений на одного жителя – 25,5 кв. м;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3"/>
          <w:ilvl w:val="0"/>
        </w:numPr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улучшение качества среды для жизни в опор</w:t>
      </w:r>
      <w:r>
        <w:rPr>
          <w:rFonts w:ascii="Times New Roman" w:hAnsi="Times New Roman"/>
          <w:sz w:val="28"/>
          <w:szCs w:val="28"/>
        </w:rPr>
        <w:t xml:space="preserve">ных населенных пунктах – 54 %.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contextualSpacing w:val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88" w:name="_Toc204259680"/>
      <w:r>
        <w:rPr>
          <w:rFonts w:ascii="Times New Roman" w:hAnsi="Times New Roman"/>
          <w:b/>
          <w:sz w:val="28"/>
          <w:szCs w:val="28"/>
        </w:rPr>
        <w:t xml:space="preserve">6.1. Транспортная инфраструктура</w:t>
      </w:r>
      <w:bookmarkEnd w:id="88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Населенные пункты, расположенные в центральной части Забайкальского края, имеют наиболее высокую транспортную доступность автомобильного, железнодорожного и авиационного транспорта. Для на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селенных пунктов, расположенных в южных и северных районах, характерна менее развитая транспортная инфраструктура, что ограничивает возможности для реализации их экономического потенциала и отражается на качестве жизни населения. Это особенно важно для сев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ера края, где сосредоточены основные запасы полезных ископаемых.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Основными принципами развития объектов транспортной инфраструктуры являются: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обеспечение транспортной связанности опорных населенных пунктов. Транспортная связанность административных центров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муниципальных образований, а также опорных населенных пунктов, обеспечивающих национальную безопасность Забайкальского края и обслуживающих критически важную инфраструктуру, преимущественно обеспечивается объектами единой опорной транспортной сети, в 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числе автомобильными дорогами, входящими в ее состав. Транспортная связанность прочих опорных населенных пунктов, в том числе с населенными пунктами на прилегающих территориях, и удаленных населенных пунктов с опорными населенными пунктами обеспечивается з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счет автомобильных дорог регионального и местного значения, в том числе за счет развития и приведения их в нормативное состояние, а также улучшения транспортного обслуживания населения, проживающего на указанных территориях (в случае невозможности обеспе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чения связанности по автомобильным дорогам за счет иных видов транспорта);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повышение транспортной доступности и связанности опорных населенных пунктов и геостратегических территорий Российской Федерации за счет реализации мероприятий, направленных на сокращение времени в пути и интервалов движения транспорта общего пользования;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снижение транспортных издержек за счет снижения себестоимости перевозок и оптимизации маршрутов;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1 января 2024 года в Забайкальском крае доля автомобильных дорог общего пользования регионального и межмуниципального значения, не отвечающих нормативным тр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ебованиям, составляла 55,1 %, для автомобильных дорог местного значения – 51,34 % (данные форм федерального статистического наблюдения 2-ДГ «Сведения об автомобильных дорогах общего пользования и сооружениях на них регионального или межмуниципального значе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ния» и 3-ДГ(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«Сведения об автомобильных дорогах общего пользования местного значения и искусственных сооружениях на них, находящихся в собственности муниципальных образований»).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Доля транспортного комплекса в ВРП края находится на уровне 18 %. Объем пер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евозок грузов автомобильным транспортом в 2021 году составил 19,5 млн. тонн, грузооборот автомобильного транспорта – 427 млн. т-км. Железнодорожным транспортом в 2021 году было перевезено 152 654 тыс. т грузов.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Реализация транзитного потенциала Забайкальск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края в результате переориентации грузопотока с европейского направления на восточное в рамках курса внешнеэкономической политики России требует развития пунктов пропуска. На 2021</w:t>
      </w:r>
      <w:r>
        <w:rPr>
          <w:rFonts w:ascii="Times New Roman" w:hAnsi="Times New Roman" w:cs="Times New Roman"/>
          <w:sz w:val="28"/>
          <w:szCs w:val="28"/>
        </w:rPr>
        <w:t xml:space="preserve"> год пропускная способность пунктов пропуска составляла 18,2 млн. тонн.</w:t>
      </w:r>
      <w:r>
        <w:rPr>
          <w:rFonts w:ascii="Times New Roman" w:hAnsi="Times New Roman" w:cs="Times New Roman"/>
          <w:bCs/>
          <w:sz w:val="28"/>
          <w:szCs w:val="28"/>
        </w:rPr>
      </w:r>
      <w:r>
        <w:rPr>
          <w:rFonts w:ascii="Times New Roman" w:hAnsi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лью направления является удовлетворение потребностей экономики и населения Забайкальского края в качественных и безопасных транспортных услугах с учетом переориентации товарооборота на страны АТР.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1) развитие и приведение в нормативное состояние сети региональных и местных дорог, развитие транспортного сообщения между населенными пунктами. Развитие транспортной инфраструктуры на сельских территориях;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2) обеспечение устойчивого транспортного сообщени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я малонаселенных территорий края, удаленных от единой региональной транспортной сети, с административным и районными центрами;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3) увеличение грузооборота участков БАМа и Транссиба на территории Забайкальского края;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4) ликвидация одноуровневых пересечений 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втомобильных дорог, пешеходных переходов и железных дорог;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5) развитие приграничной транспортной инфраструктуры для сокращения длительности прохождения пунктов пропуска через государственную границу Российской Федерации (не более трех часов на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автомобильны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х пунктах пропуска и не более шести часов на железнодорожных пунктах пропуска);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6) развитие транспорта общего пользования – увеличение 2030 году в агломерациях и городах доли парка общественного транспорта, имеющего срок эксплуатации не старше нормативного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не менее чем до 85 процентов;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7) развития мультимодальных перевозок в целях более эффективной работы транспортной системы как совокупности видов транспорта;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8) повышения безопасности дорожного движения при одновременном сокращении времени в пути для пасс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ажирского транспорта, в том числе за счет повышения транспортно-эксплуатационного состояния автомобильных дорог единой опорной транспортной сети – увеличение к 2030 году нормативное состояние автомобильных дорог входящих в опорную сеть, не менее чем до 80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процентов;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9) за счет развития транспортной инфраструктуры и общественного транспорта в городских агломерациях с учетом установления приоритета для развития указанной инфраструктуры к социальным объектам и организациям культуры из отдаленных населенных пун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ктов, а также пригородных пассажирских перевозок, в том числе посредством обеспечения условий для долгосрочного планирования пригородных пассажирских перевозок в Забайкальском крае;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10) осуществления регулярных рейсов по социально значимым маршрутам Дальне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восточного федеральных округов, так и на территории Забайкальского края;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11) увеличение показателя нормативного состояния дорожной сети Опорных населенных пунктов;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12) создание автодорожных обходов крупных населенных пунктов с целью снижения нагрузки на ав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томобильные дороги местного значения;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13) увеличение к 2030 году показатель нормативного состояния дорожной сети городских агломераций, не менее чем до 85 процентов;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pStyle w:val="1031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14) увеличение к 2030 году показатель нормативного состояния регионального и межмуниципаль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ного значения, не менее чем до 60 процентов.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достижения поставленных задач предусмотрено строительство, реконструкция и капитальный ремонт автомобильных дорог федерального, регионального и межмуниципального значения и искусственных сооружений на данных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дорогах, развитие транспортной инфраструктуры на сельских территориях.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Обеспечение устойчивого транспортного сообщения малонаселенных территорий края реализуется путем реконструкции и строительства аэродромов и аэропортов, развития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внутрирегиональных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маршрутов.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Увеличение грузооборота участков БАМа и Транссиба достигается чер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ез комплекс мероприятий по повышению пропускной способности БАМа и Транссиба, по развитию Южного хода Транссибирской магистрали, по повышению надежности электроснабжения, по обеспечению предоставления провозных мощностей для реализации инвестиционных приор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итетов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Забайкальского края в рамках инвестиционной программы открытого акционерного общества «Российские железные дороги», одобренной Правительством Российской Федерации.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обеспечения безопасности движения на железнодорожном транспорте предусмотрено стр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оительство (реконструкция) автодорожных путепроводов и разноуровневых пешеходных переходов в местах пересечения автомобильных дорог с железнодорожными путями, развитие транспортно-пересадочных узлов, обустройство подходов к железнодорожным платформам.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Для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развития приграничной транспортной инфраструктуры, в первую очередь, требуется провести работы по модернизации и оснащению МАПП Забайкальск, ДАПП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Староцурухайтуйский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перевод грузового направления МАПП Забайкальск на круглосуточный режим работы (по согласо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ванию с Китайской Стороной) и после проведения соответствующих мероприятий по его реконструкции. Вторая очередь работ включает проведение работ по приведению в нормативное состояние пунктов пропуска МАПП и ЖДПП Соловьевск, ДАПП Верхний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Ульхун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принятие реш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ения по возобновлению работы пограничного пункта пропуска в постоянном режиме в районе Покровка (Россия) –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Логухэ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(Китайская Народная Республика) после окончания строительства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Амазарского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целлюлозно-промышленного комбината.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Развитие транспорта общего поль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зования реализуется путем разработки и реализации концепции развитие транспорта пригородного сообщения в Забайкальском крае, организации выделенных путей для общественного транспорта в г. Чите. 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Ожидаемые результаты в 2035 году: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1) доля протяженности автом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обильных дорог общего пользования, соответствующих нормативным требованиям, в их общей протяженности – 59,6 %;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2) рост физического объема ВРП по виду экономической деятельности «Транспортировка и хранение» – в 2,7 раза к уровню 2021 года.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contextualSpacing w:val="0"/>
        <w:jc w:val="center"/>
        <w:outlineLvl w:val="2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89" w:name="_Toc204259681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6.2. Энергетический комплекс</w:t>
      </w:r>
      <w:bookmarkEnd w:id="89"/>
      <w:r>
        <w:rPr>
          <w:rFonts w:ascii="Times New Roman" w:hAnsi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Энергосистема Забайкальского края входит в Объединенную энергосистему Сибири (ОЭС Сибири).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Централизованным электроснабжением охвачено 97 % (таблица 22) населенных пунктов. В зону централизованного электроснабжения не входят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23 населенных пункта.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Территория Забайкальского края, за исключением района БАМа, относится к зоне свободного перетока «Чита» (ЗСП-4) второй ценовой зоны оптового рынка электрической энергии и мощности.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22. Общая характеристика энергосистемы Забай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кальского края,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2023 год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tbl>
      <w:tblPr>
        <w:tblStyle w:val="1033"/>
        <w:tblW w:w="0" w:type="auto"/>
        <w:tblLayout w:type="fixed"/>
        <w:tblLook w:val="04A0" w:firstRow="1" w:lastRow="0" w:firstColumn="1" w:lastColumn="0" w:noHBand="0" w:noVBand="1"/>
      </w:tblPr>
      <w:tblGrid>
        <w:gridCol w:w="4217"/>
        <w:gridCol w:w="1071"/>
        <w:gridCol w:w="1071"/>
        <w:gridCol w:w="1071"/>
        <w:gridCol w:w="899"/>
        <w:gridCol w:w="1242"/>
      </w:tblGrid>
      <w:tr>
        <w:trPr>
          <w:trHeight w:val="530"/>
        </w:trPr>
        <w:tblPrEx/>
        <w:tc>
          <w:tcPr>
            <w:tcW w:w="4217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2020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2022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89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2023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242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Среднее за 4 года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494"/>
        </w:trPr>
        <w:tblPrEx/>
        <w:tc>
          <w:tcPr>
            <w:tcW w:w="4217" w:type="dxa"/>
            <w:noWrap w:val="false"/>
            <w:textDirection w:val="lrTb"/>
            <w:vAlign w:val="center"/>
          </w:tcPr>
          <w:p>
            <w:pPr>
              <w:tabs>
                <w:tab w:val="num" w:pos="259" w:leader="none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Энергопотребление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  <w:p>
            <w:pPr>
              <w:tabs>
                <w:tab w:val="num" w:pos="259" w:leader="none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млрд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zh-CN"/>
              </w:rPr>
              <w:t xml:space="preserve">кВтч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8192,5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8264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8581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9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8832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42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8467,38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blPrEx/>
        <w:tc>
          <w:tcPr>
            <w:tcW w:w="4217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Абсолютный прирост электропотребления, млн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кВТ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ч.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49,6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71,5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9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42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146,03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/>
        <w:tblPrEx/>
        <w:tc>
          <w:tcPr>
            <w:tcW w:w="4217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Среднегодовые темпы прироста, %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71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89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42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tabs>
          <w:tab w:val="left" w:pos="1134" w:leader="none"/>
        </w:tabs>
        <w:spacing w:after="0" w:line="240" w:lineRule="auto"/>
        <w:ind w:firstLine="72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Особенностями функционирования энергосистемы Забайкальского края в составе ЕЭС России являются: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tabs>
          <w:tab w:val="left" w:pos="709" w:leader="none"/>
          <w:tab w:val="left" w:pos="1134" w:leader="none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параллельная работа с ОЭС Сибири и изолированная от ОЭС Востока;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tabs>
          <w:tab w:val="left" w:pos="709" w:leader="none"/>
          <w:tab w:val="left" w:pos="1134" w:leader="none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ab/>
        <w:t xml:space="preserve">часть потребителей энергосистемы вдоль Транссиба питается от ОЭС Востока, при этом в ремонтных или послеаварийных режимах возможен перенос точки деления сети 220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кВ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 по транзиту Ерофей Павлов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ич – Могоча – Холбон;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tabs>
          <w:tab w:val="left" w:pos="709" w:leader="none"/>
          <w:tab w:val="left" w:pos="1134" w:leader="none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lang w:eastAsia="zh-CN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t xml:space="preserve">неравномерность и несимметричность нагрузки потребления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zh-CN"/>
        </w:rPr>
        <w:br/>
        <w:t xml:space="preserve">(доля потребления электротяги Забайкальской железной дороги составляет более 30 % от суммарной нагрузки потребления).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right="-1" w:firstLine="709"/>
        <w:jc w:val="both"/>
        <w:rPr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2023 году фактическое потребление электроэнергии по Заба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йкальскому краю составило 8 832 млн кВт. ч, что больше показателя 2020 года на 639 млн кВт. ч (+7,2 %) (таблица 23).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993" w:leader="none"/>
          <w:tab w:val="left" w:pos="1134" w:leader="none"/>
        </w:tabs>
        <w:spacing w:after="0" w:line="240" w:lineRule="auto"/>
        <w:ind w:left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Та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блица 23. Динамика электропотребления за период 2020-2023 годы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tbl>
      <w:tblPr>
        <w:tblW w:w="93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081"/>
        <w:gridCol w:w="1055"/>
        <w:gridCol w:w="1055"/>
        <w:gridCol w:w="1055"/>
        <w:gridCol w:w="1055"/>
        <w:gridCol w:w="1055"/>
      </w:tblGrid>
      <w:tr>
        <w:trPr>
          <w:jc w:val="center"/>
          <w:trHeight w:val="738"/>
        </w:trPr>
        <w:tblPrEx/>
        <w:tc>
          <w:tcPr>
            <w:tcW w:w="4082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2020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2020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Среднее за 4 года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>
          <w:jc w:val="center"/>
          <w:trHeight w:val="20"/>
        </w:trPr>
        <w:tblPrEx/>
        <w:tc>
          <w:tcPr>
            <w:tcW w:w="4082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Электропотребление, млн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кВт.ч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8192,5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8264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8581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8832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8467,38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jc w:val="center"/>
          <w:trHeight w:val="20"/>
        </w:trPr>
        <w:tblPrEx/>
        <w:tc>
          <w:tcPr>
            <w:tcW w:w="4082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Абсолютный прирост электропотребления, млн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кВт.ч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49,6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71,5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317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251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146,03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jc w:val="center"/>
          <w:trHeight w:val="20"/>
        </w:trPr>
        <w:tblPrEx/>
        <w:tc>
          <w:tcPr>
            <w:tcW w:w="4082" w:type="dxa"/>
            <w:tcBorders>
              <w:bottom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Среднегодовые темпы прироста, %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tcBorders>
              <w:bottom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tcBorders>
              <w:bottom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tcBorders>
              <w:bottom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tcBorders>
              <w:bottom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2,8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055" w:type="dxa"/>
            <w:tcBorders>
              <w:bottom w:val="single" w:color="auto" w:sz="4" w:space="0"/>
            </w:tcBorders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ff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Максимум электрической нагрузки потребителей Забайкальского края наблюдается в самый холодный период года.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В 2023 году собственный максимум нагрузки ЭС Забайкальского края составил 1465 МВт. Среднегодовой темп прироста в период 2020–2023 годов составил 3,7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 % (таблица 24).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Анализ балансов электроэнергии показывает, что потребность энергосистемы Забайкальского края в электроэнергии покрывалась как за счет выработки собственных электростанций, так и получения со стороны смежных энергосистем: Амурской (ОЭС Вост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  <w:t xml:space="preserve">ока) и Республики Бурятия (ОЭС Сибири). Причем наблюдается рост зависимости энергосистемы Забайкальского края от внешних перетоков.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ff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  <w:r>
        <w:rPr>
          <w:rFonts w:ascii="Times New Roman" w:hAnsi="Times New Roman" w:eastAsia="Times New Roman" w:cs="Times New Roman"/>
          <w:color w:val="ff0000"/>
          <w:sz w:val="28"/>
          <w:szCs w:val="28"/>
        </w:rPr>
      </w:r>
    </w:p>
    <w:p>
      <w:pPr>
        <w:spacing w:after="0"/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Таблица 24. Динамика максимальных электрических нагрузок за период 2020-2023 годов</w:t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00000" w:themeColor="text1"/>
          <w:sz w:val="28"/>
          <w:szCs w:val="28"/>
        </w:rPr>
      </w:r>
    </w:p>
    <w:tbl>
      <w:tblPr>
        <w:tblpPr w:horzAnchor="margin" w:tblpXSpec="left" w:vertAnchor="text" w:tblpY="104" w:leftFromText="180" w:topFromText="0" w:rightFromText="180" w:bottomFromText="0"/>
        <w:tblW w:w="935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960"/>
        <w:gridCol w:w="960"/>
        <w:gridCol w:w="960"/>
        <w:gridCol w:w="960"/>
        <w:gridCol w:w="1263"/>
      </w:tblGrid>
      <w:tr>
        <w:trPr>
          <w:trHeight w:val="20"/>
        </w:trPr>
        <w:tblPrEx/>
        <w:tc>
          <w:tcPr>
            <w:tcW w:w="425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Показатель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2020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2021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2022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2023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год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  <w:tc>
          <w:tcPr>
            <w:tcW w:w="126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Среднее 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за 4 года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20"/>
        </w:trPr>
        <w:tblPrEx/>
        <w:tc>
          <w:tcPr>
            <w:tcW w:w="425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Собственный максимум нагрузки, МВт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1290,3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1298,9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1356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1465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6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1352,55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507"/>
        </w:trPr>
        <w:tblPrEx/>
        <w:tc>
          <w:tcPr>
            <w:tcW w:w="425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Абсолютный прирост максимума нагрузки, МВт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24,3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8,6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57,1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6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49,7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  <w:tr>
        <w:trPr>
          <w:trHeight w:val="20"/>
        </w:trPr>
        <w:tblPrEx/>
        <w:tc>
          <w:tcPr>
            <w:tcW w:w="425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  <w:t xml:space="preserve">Среднегодовые темпы прироста, %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1,9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0,7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4,8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960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7,4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  <w:tc>
          <w:tcPr>
            <w:tcW w:w="1263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3,7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r>
          </w:p>
        </w:tc>
      </w:tr>
    </w:tbl>
    <w:p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  <w:r>
        <w:rPr>
          <w:rFonts w:ascii="Times New Roman" w:hAnsi="Times New Roman" w:cs="Times New Roman"/>
          <w:color w:val="ff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Установленная мощность электростанций энергосистемы Забайкальского края на 1 января 2024 года составила 1693,8 МВт, в том числе: ТЭС – 1593,8 МВт, СЭС – 100,0 МВт (5,9 % от суммарной установленной мощности электростанций).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К 2030 году собственный максимум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потребления согласно утвержденному балансу мощностей составит 1,9 ГВт, а электропотребление до 12,6 млрд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кВтч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С учетом развития возобновляемой энергетики к 2030 году в структуре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jc w:val="both"/>
        <w:rPr>
          <w:color w:val="000000" w:themeColor="text1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генерирующих мощностей энергосистемы Забайкальского края по сравнению с 2023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годом снизится доля ТЭС с 94,1 % до 63,9 %, доля СЭС возрастет с 5,9 % до 36 %.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Целью направления является трансформация энергетической системы Забайкальского края, направленная на повышение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энергообеспеченности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для покрытия существующего и прогнозного деф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ицита 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энергомощностей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Основные задачи для достижения цели.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1) стимулирование внедрения энергосберегающих и энергоэффективных технологий в промышленности и жилищно-коммунальном хозяйстве;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2) обеспечение генерирующими и электросетевыми мощностями проектов по реализации потенциала освоения месторождений и развития пр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омышленности края;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3) увеличение электро- 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теплогенерации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на основе возобновляемых источников энергии, в первую очередь в удаленных и изолированных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энергорайонах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Развитие генерирующих мощностей энергосистемы Забайкальского края, включая мероприятия по мо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дернизации, реконструкции,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перемаркировке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демонтажу и вводам с высокой вероятностью реализации, будет происходить в соответствии с документами перспективного планирования Единой энергетической системы России.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 учетом того, что СЭС не могут в силу режима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работы обеспечить компенсацию дефицита мощностей края, а также исходя из анализа перспективных режимов работы энергосистемы, наиболее целесообразным является строительство объектов новой генерации с прогнозируемым и регулируемым режимом работы на территори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 энергосистемы Забайкальского края не менее 460 МВт.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Таким образом к 2030 году прогнозная совокупная мощность электростанций на территории Забайкальского края имеет тенденцию к почти двухкратному увеличению и составит от 1,4 до 3,2 ГВт.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Ожидаемые результаты в 2030 году: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1) прирост генерирующих мощностей – до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1,4 ГВт;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2) рост объема производства электроэнергии – в 1,8 раза к уровню 2023</w:t>
      </w:r>
    </w:p>
    <w:p>
      <w:pPr>
        <w:spacing w:after="0" w:line="240" w:lineRule="auto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года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3) рост физического объема инвестиций в основной капитал по виду экономической деятельности «Обеспечение электрической энергией, газом и паром; кондиционирование воздуха» </w:t>
      </w:r>
      <w:r>
        <w:rPr>
          <w:rFonts w:ascii="Times New Roman" w:hAnsi="Times New Roman" w:eastAsia="Calibri" w:cs="Times New Roman"/>
          <w:iCs/>
          <w:sz w:val="28"/>
          <w:szCs w:val="28"/>
        </w:rPr>
        <w:t xml:space="preserve">–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3,5 раза к уровню 2021 года.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left="709"/>
        <w:jc w:val="center"/>
        <w:outlineLvl w:val="2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bookmarkStart w:id="90" w:name="_Toc204259682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6.3.1. Жилищно-коммунальное хозяйство</w:t>
      </w:r>
      <w:bookmarkEnd w:id="90"/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</w:p>
    <w:p>
      <w:pPr>
        <w:spacing w:after="0" w:line="240" w:lineRule="auto"/>
        <w:ind w:left="709"/>
        <w:jc w:val="center"/>
        <w:outlineLvl w:val="2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Коммунальная инфраструктура Забайкальского края характеризуется высокой степенью износа основных фондов, а в удаленных районах эта проблема стоит особенно остро. Основные проблемы вкл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ючают значительный износ инженерной инфраструктуры, составляющий 77%, и дефицит мощностей водоснабжения, который, в свою очередь, приводит к перебоям в подаче воды в ряде населенных пунктов.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 период 2019–2024 годов наблюдается следующая динамика в системе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 жилищно-коммунального хозяйства: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 системе водоснабжения доля населенных пунктов с противопожарным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водоснабжением составляет 83,4 %, доля населения, обеспеченного централизованным водоснабжением 58 % (городское население - 69,2 %, сельское население - 58 %), доля населения, обеспеченного качественной питьевой водой из систем централизованного водоснабже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ния 58,1 %, доля утечек и неучтенного расхода воды в общем объеме 11,6, % (в сравнении с предшествующим годом показатель снизился на 3,2 %, в том числе в связи с заменой 12 км магистральных сетей). Кроме того, отмечается снижение количества аварий на 25 %.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 системе водоотведения доля населения, обеспеченного централизованным водоотведением 51,6 %. Базовый показатель доли сточных вод, очищенных до нормативных на очистных сооружениях, составляет 93,7 %, высокое значение показателя отмечалось в 2020 году и уч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итывает только тот объем стоков, которые прошли через действующие очистные сооружения.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В системе теплоснабжения доля населения, обеспеченного централизованным теплоснабжением 69,5 %, потери в общем объеме переданной тепловой энергии 30,0 %, ввиду высокого 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  <w:t xml:space="preserve">уровня физического износа, составляющего 78 %.</w:t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Calibri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Ключевые факторы, влияющие на развитие инфраструктуры, тесно взаимосвязаны между собой: географическое положение края определяет климатические условия, которые, в свою очередь, накладывают особые требования к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коммунальным системам. Демографическая ситуация напрямую влияет на инвестиционную привлекательность региона, а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государственная поддержка становится необходимым условием для технологического обновления отрасли.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Основные задачи для достижения целей развития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коммунальной инфраструктуры Забайкальского края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1. Модернизация существующих объектов: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комплексная диагностика всех объектов коммунальной инфраструктуры с использованием современных методов обследования;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программ поэтапной замены изношенных сете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й теплоснабжения, водоснабжения и водоотведения;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внедрение современных технологий ремонта и реконструкции с применением инновационных материалов;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системы мониторинга состояния объектов в режиме реального времени.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2. Развитие кадрового потенциала: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подготовка специалистов нового поколения через систему целевого обучения;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переподготовка кадров с учетом внедрения новых технологий;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системы мотивации для привлечения квалифицированных специалистов в отрасль;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программ социальной поддержки работников коммунальной сферы.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3. Технологическое обновление: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внедрение автоматизированных систем управления объектами инфраструкт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уры;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модернизация систем учета потребления ресурсов с использованием умных счетчиков;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программ энергосбережения и энергоэффективности;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резервных мощностей для обеспечения бесперебойной работы.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4. Финансовое обеспечение: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привлечение инве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стиций через механизмы государственно-частного партнерства;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оптимизация тарифной политики с учетом необходимости модернизации;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программ субсидирования для социально незащищенных слоев населения;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фондов развития коммунальной инфраструкту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ры.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5. Развитие сельских территорий: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локальных систем теплоснабжения в отдаленных населенных пунктах;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внедрение альтернативных источников энергии для автономных объектов;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развитие систем децентрализованного водоснабжения;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организация мобильных бри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гад для оперативного обслуживания удаленных объектов.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6. Экологическая безопасность: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модернизация очистных сооружений с применением современных технологий очистки;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внедрение систем повторного использования воды;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программ утилизации отходов произ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водства;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систем экологического мониторинга.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7. Цифровизация отрасли: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внедрение единой информационной системы управления коммунальным хозяйством;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мобильных приложений для взаимодействия с потребителями;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цифровых двойников объектов инфраструктуры;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автоматизация процессов планирования и учета ресурсов.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8. Повышение качества услуг: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стандартов качества предоставляемых услуг;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системы контроля удовлетворенности потребителей;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внедрение механизмов обратной связи с населением;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организация прозрачного учета всех обращений и жалоб.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spacing w:after="0" w:line="240" w:lineRule="auto"/>
        <w:ind w:firstLine="709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9. Развитие нормативно-правовой базы: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ак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туализация региональных программ развития коммунальной инфраструктуры;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разработка локальных нормативных актов с учетом специфики региона;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color w:val="000000" w:themeColor="text1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совершенствование механизмов контроля качества услуг;</w:t>
      </w:r>
      <w:r>
        <w:rPr>
          <w:color w:val="000000" w:themeColor="text1"/>
        </w:rPr>
      </w:r>
      <w:r>
        <w:rPr>
          <w:color w:val="000000" w:themeColor="text1"/>
        </w:rPr>
      </w:r>
    </w:p>
    <w:p>
      <w:pPr>
        <w:tabs>
          <w:tab w:val="left" w:pos="1276" w:leader="none"/>
        </w:tabs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создание системы стимулирования энергоэффективного поведения пот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ребителей.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 краткосрочной перспективе планируется модернизация основных объектов теплоснабжения, и одновременно с этим будет происходить внедрение энергосберегающих технологий. Реконструкция систем водоснабжения в крупных городах будет сопровождаться авто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матизацией учета ресурсов, а развитие локальных систем отопления позволит снизить нагрузку на централизованные сети.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 среднесрочной перспективе создание единой системы управления коммунальным хозяйством параллельно с привлечением частных инвестиций через 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механизмы государственно-частного партнерства, и развитие альтернативных источников энергии станет важным направлением модернизации. Цифровизация отрасли позволит внедрить умные системы учета, в то время как модернизация очистных сооружений значительно улу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чшит качество предоставляемых услуг.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В долгосрочной перспективе полная автоматизация процессов управления одновременно с интеграцией с федеральными системами мониторинга, и создание современных котельных позволит существенно повысить эффективность теплосна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бжения. Развитие систем повторного использования воды с внедрением инновационных материалов, что приведет к снижению затрат на эксплуатацию.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Основные показатели развития демонстрируют значительный потенциал улучшения: снижение потерь в сетях до 15% будет п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роисходить одновременно с повышением качества предоставляемых услуг, и увеличение доли современного оборудования до 60% позволит сократить аварийность на 30%.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Для успешной реализации прогноза необходимо комплексное решение существующих проблем, учитывающее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 региональную специфику, и привлечение дополнительных источников финансирования станет ключевым фактором успеха. Особое внимание следует уделить развитию сельских территорий, и удаленные населенные пункты потребуют индивидуального подхода к модернизации ин</w:t>
      </w:r>
      <w:r>
        <w:rPr>
          <w:rFonts w:ascii="Times New Roman" w:hAnsi="Times New Roman" w:eastAsia="Times New Roman" w:cs="Times New Roman"/>
          <w:color w:val="000000" w:themeColor="text1"/>
          <w:sz w:val="28"/>
          <w:szCs w:val="28"/>
        </w:rPr>
        <w:t xml:space="preserve">фраструктуры.</w:t>
      </w:r>
      <w:r>
        <w:rPr>
          <w:rFonts w:ascii="Times New Roman" w:hAnsi="Times New Roman" w:eastAsia="Calibri" w:cs="Times New Roman"/>
          <w:b/>
          <w:bCs/>
          <w:color w:val="000000" w:themeColor="text1"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color w:val="000000" w:themeColor="text1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numPr>
          <w:numId w:val="28"/>
          <w:ilvl w:val="2"/>
        </w:numPr>
        <w:spacing w:after="0" w:line="240" w:lineRule="auto"/>
        <w:jc w:val="center"/>
        <w:outlineLvl w:val="2"/>
        <w:rPr>
          <w:rFonts w:ascii="Times New Roman" w:hAnsi="Times New Roman"/>
          <w:b/>
          <w:color w:val="000000" w:themeColor="text1"/>
          <w:sz w:val="28"/>
          <w:szCs w:val="28"/>
        </w:rPr>
      </w:pPr>
      <w:bookmarkStart w:id="91" w:name="_Toc204259683"/>
      <w:r>
        <w:rPr>
          <w:rFonts w:ascii="Times New Roman" w:hAnsi="Times New Roman"/>
          <w:b/>
          <w:color w:val="000000" w:themeColor="text1"/>
          <w:sz w:val="28"/>
          <w:szCs w:val="28"/>
        </w:rPr>
        <w:t xml:space="preserve">Благоустройство</w:t>
      </w:r>
      <w:bookmarkEnd w:id="91"/>
      <w:r>
        <w:rPr>
          <w:rFonts w:ascii="Times New Roman" w:hAnsi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color w:val="000000" w:themeColor="text1"/>
          <w:sz w:val="28"/>
          <w:szCs w:val="28"/>
        </w:rPr>
      </w:r>
    </w:p>
    <w:p>
      <w:pPr>
        <w:spacing w:after="0" w:line="240" w:lineRule="auto"/>
        <w:outlineLvl w:val="2"/>
        <w:rPr>
          <w:rFonts w:ascii="Times New Roman" w:hAnsi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color w:val="000000" w:themeColor="text1"/>
          <w:sz w:val="28"/>
          <w:szCs w:val="28"/>
        </w:rPr>
      </w:r>
      <w:r>
        <w:rPr>
          <w:rFonts w:ascii="Times New Roman" w:hAnsi="Times New Roman"/>
          <w:b/>
          <w:color w:val="000000" w:themeColor="text1"/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00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территории Забайкальского края насчитывается 693 общественные территории и 3085 дворовых территорий.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00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00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пери</w:t>
      </w:r>
      <w:r>
        <w:rPr>
          <w:rFonts w:ascii="Times New Roman" w:hAnsi="Times New Roman" w:cs="Times New Roman"/>
          <w:sz w:val="28"/>
          <w:szCs w:val="28"/>
        </w:rPr>
        <w:t xml:space="preserve">од 2018-2024 годов благоустроено 314 общественных территорий и 324 дворовые территории. Также реализовано 20 крупных проектов победителей Всероссийского конкурса лучших проектов создания комфортной городской среды в малых городах и исторических поселениях.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Состояние неблагоустроенных территорий харак</w:t>
      </w:r>
      <w:r>
        <w:rPr>
          <w:rFonts w:ascii="Times New Roman" w:hAnsi="Times New Roman" w:cs="Times New Roman"/>
          <w:sz w:val="28"/>
          <w:szCs w:val="28"/>
        </w:rPr>
        <w:t xml:space="preserve">теризуется существенным износом, отсутствием инженерных коммуникаций, недостаточным освещением, слабо развитой инфраструктурой для обеспечения нормального отдыха жителей (отсутствуют прогулочные дорожки, трассы для катания на велосипедах и роликах и т.д.).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направления является повышение качества и комфорта среды на территории Забайкальского края.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Calibri" w:cs="Times New Roman"/>
          <w:color w:val="0d0d0d" w:themeColor="text1" w:themeTint="F2"/>
          <w:sz w:val="28"/>
          <w:szCs w:val="28"/>
        </w:rPr>
        <w:t xml:space="preserve">Основные задачи для достижения цели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</w:r>
    </w:p>
    <w:p>
      <w:pPr>
        <w:pStyle w:val="1076"/>
        <w:numPr>
          <w:numId w:val="29"/>
          <w:ilvl w:val="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уровня благоустройства общественных территорий (парков, скверов, набережных и т.д.);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76"/>
        <w:numPr>
          <w:numId w:val="29"/>
          <w:ilvl w:val="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повышение уровня благоуст</w:t>
      </w:r>
      <w:r>
        <w:rPr>
          <w:sz w:val="28"/>
          <w:szCs w:val="28"/>
        </w:rPr>
        <w:t xml:space="preserve">ройства дворовых территорий муниципальных образований Забайкальского края;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1076"/>
        <w:numPr>
          <w:numId w:val="29"/>
          <w:ilvl w:val="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комфортных и благоприятных условия проживания граждан, в том числе в опорных населенных пунктов.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Общественные и дворовые территории благоустроены за счет реализации федерал</w:t>
      </w:r>
      <w:r>
        <w:rPr>
          <w:rFonts w:ascii="Times New Roman" w:hAnsi="Times New Roman" w:cs="Times New Roman"/>
          <w:sz w:val="28"/>
          <w:szCs w:val="28"/>
        </w:rPr>
        <w:t xml:space="preserve">ьного проекта «Формирование комфортной городской среды» и Плана социального развития центров экономического роста. Количество благоустроенных территорий зависит от размера предоставляемой субсидии из федерального бюджета.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Ожидаемые результаты к 2035 году: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hd w:val="clear" w:color="auto" w:fill="ffffff"/>
        <w:tabs>
          <w:tab w:val="left" w:pos="1134" w:leader="none"/>
        </w:tabs>
        <w:ind w:firstLine="567"/>
        <w:contextualSpacing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1) благоустроено не менее 300 общественных территорий (нарастающим итогом с 2025 года);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благоустроено не менее 80 дворовых территорий.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contextualSpacing w:val="0"/>
        <w:jc w:val="center"/>
        <w:outlineLvl w:val="2"/>
        <w:rPr>
          <w:rFonts w:ascii="Times New Roman" w:hAnsi="Times New Roman"/>
          <w:b/>
          <w:sz w:val="28"/>
          <w:szCs w:val="28"/>
          <w:highlight w:val="green"/>
        </w:rPr>
      </w:pPr>
      <w:bookmarkStart w:id="92" w:name="_Toc204259684"/>
      <w:r>
        <w:rPr>
          <w:rFonts w:ascii="Times New Roman" w:hAnsi="Times New Roman"/>
          <w:b/>
          <w:sz w:val="28"/>
          <w:szCs w:val="28"/>
        </w:rPr>
        <w:t xml:space="preserve">6.4. Цифровая трансформация</w:t>
      </w:r>
      <w:bookmarkEnd w:id="92"/>
      <w:r>
        <w:rPr>
          <w:rFonts w:ascii="Times New Roman" w:hAnsi="Times New Roman"/>
          <w:b/>
          <w:sz w:val="28"/>
          <w:szCs w:val="28"/>
          <w:highlight w:val="green"/>
        </w:rPr>
      </w:r>
      <w:r>
        <w:rPr>
          <w:rFonts w:ascii="Times New Roman" w:hAnsi="Times New Roman"/>
          <w:b/>
          <w:sz w:val="28"/>
          <w:szCs w:val="28"/>
          <w:highlight w:val="green"/>
        </w:rPr>
      </w:r>
    </w:p>
    <w:p>
      <w:pPr>
        <w:pStyle w:val="1038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highlight w:val="green"/>
        </w:rPr>
      </w:pP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  <w:r>
        <w:rPr>
          <w:rFonts w:ascii="Times New Roman" w:hAnsi="Times New Roman"/>
          <w:sz w:val="28"/>
          <w:szCs w:val="28"/>
          <w:highlight w:val="green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Забайкальский край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находится на этапе гл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обальной цифровой трансформации, которая определена Президентом Российской Федерации В.В. Путиным одной из национальных целей развития Российской Федерации на период до 2030 года и на перспективу до 2036 года. В условиях сложнейшей геополитической ситуации</w:t>
      </w:r>
      <w:r>
        <w:rPr>
          <w:rFonts w:ascii="Times New Roman" w:hAnsi="Times New Roman" w:eastAsia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особенно важно обеспечить увеличение производительности и эффективности труда, стимулирование экономического роста, удовлетворенности людей качеством жизни посредством применения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информационных и коммуникационных технологий (далее – ИКТ) и обеспечения их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безопасности, в том числе за счет: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достижения в Забайкальском крае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«цифровой зрелости» ключевых отраслей экономики и социальной сферы, в том числе здравоохранения и образования, а также государственного управления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устранения цифрового неравенства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на малоч</w:t>
      </w:r>
      <w:r>
        <w:rPr>
          <w:rFonts w:ascii="Times New Roman" w:hAnsi="Times New Roman"/>
          <w:sz w:val="28"/>
          <w:szCs w:val="28"/>
          <w:lang w:eastAsia="ru-RU"/>
        </w:rPr>
        <w:t xml:space="preserve">исленных территориях Забайкальского края в доступе к телекоммуникационной инфраструктуре и цифровым сервисам современного уровня;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перехода на единое информационное пространство электронного взаимодействия органов исполнительной власти Забайкальского края,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органов местного самоуправления Забайкальского края с органами государственной власти Российской Федерации, органами государственной власти субъектов Российской Федерации, государственных учреждений, граждан и бизнеса;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использования цифровых форматов доку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ментов. 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 итогам 2024 года по Забайкальскому краю достижение показателя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«цифровой зрелости» ключевых отраслей экономики и социальной сферы, в том числе здравоохранения и образования, а также государственного управления составило 75,3 % при среднем значен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ии среди субъектов Дальневосточного федерального округа в 84,8 %.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части обеспечения информационной безопасности в 2024 году по сравнению с 2023 годом возросло количество кибератак, в том числе целенаправленных, на информационную инфраструктуру Забайкальс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кого края на 35 %.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Также на конец 2024 года в Забайкальском крае остаются неподключенными к подвижной радиотелефонной связи 180 населенных пунктов (17 383 человек), из них: 68 населенных пунктов с численностью населения от 100 - 1000 человек, 112 населенн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ых пункта с численностью населения от 1-99 человек.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Есть только голосовая связь (стандарт сети 2G), но нет доступа к сети «Интернет»: в 129 населенных пунктах (17 816 человек), из них: 64 населенных пункта с численностью населения от 100-500 человек (12 60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4 жителей), 64 населенных пункта с численностью населения от 1-99 человек, больше 1000 чел. – 1 населенный пункт (Букачача), 3 населенных пункта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(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Кадахта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, Тупик, Тунгокочен) с численностью населения от 500-1000 человек.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На территории Забайкальского края 41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5 отделений почтовой связи (далее – ОПС), из которых 311 расположены в сельской местности, из них 36 в труднодоступных населенных пунктах, к которым нет непрерывного круглогодичного доступа. 250 ОПС требуется проведение капитального ремонта.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В рамках переч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ня поручений Президента России В. В. Путина от 24 августа 2021 года № Пр-1703 предусмотрена программа по модернизации и приведения в нормативное состояние отделений АО «Почта России», расположенных в сельской местности, а также в труднодоступной местности.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Модернизация и приведение в нормативное состояние включает в себя комплекс мероприятий по ремонту отделений почтовой связи, замене неремонтопригодных отделений на модульные здания из быстровозводимых конструкций (далее – БВК), а также оснащение отделений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мебелью, оборудованием и организацию на базе отделений центров социальных услуг.</w:t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 2024 год отремонтировано 5 ОПС (1 ОПС – БВК).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  <w:t xml:space="preserve">Дополнительно Правительством края принят закон Забайкальского края от 27.11.2023 № 2258-ЗЗК «О внесении изменений в Закон Заб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айкальского края «О налоге на имущество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организаций»в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 части освобождения от уплаты налога на имущество организаций, основным видом экономической деятельности которых является деятельность почтовой связи общего пользования.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рамках предоставленной налогово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й льготы в 2024 году отремонтировано 1 ОПС.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Проблемами цифровой трансформации Забайкальского края являются: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недостаточно развитая информационно-телекоммуникационная и вычислительная инфраструктура региона;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низкий уровень финансирования мероприятий цифровой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трансформации региона;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низкий уровень финансирования из федерального бюджета мероприятия по проведению модернизации и приведения в нормативное состояние ОПС Забайкальского края;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острый дефицит квалифицированных кадров в сфере ИКТ в регионе;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неготовность государственных и муниципальных служащих Забайкальского края к цифровизации процессов в курируемых сферах деятельности, их недостаточная грамотность в области ИКТ и недоверие к оте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чественным решениям;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недоверие граждан к электронному формату получения государственных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и муниципальных услуг (далее – Услуг), связанных как со сложностью получения Услуг из-за количества требуемых документов для их предоставления, так или большим количеством отказов в получении Услуг в электронном формате или увеличением сроков их оказания;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опасения граждан за безопасность и компрометацию персональных данных при использовании ИКТ;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88" w:lineRule="atLeast"/>
        <w:ind w:firstLine="54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количества уязвимостей информационных систем в связи с внедрением и масштабированием новых информационных технологий и программных продуктов.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Целью напр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авления является обеспечение свободного, устойчивого, безопасного информационного взаимодействия между органами государственной и муниципальной власти, гражданами, бизнесом, безопасности критической информационной инфраструктуры, а также устранения цифрово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  <w:t xml:space="preserve">го неравенства в отношении удаленных и малочисленных территорий Забайкальского края в доступе к телекоммуникационной инфраструктуре и цифровым сервисам современного уровня.</w:t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развитие и совершенствование системы обеспече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ния информационной безопасности;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оценка состояния информационной безопасности, прогнозирование и обнаружение информационных угроз, определение приоритетных направлений их предотвращения и ликвидации последствий их реализации;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времени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бесперебойн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ой работоспособности информационно-телекоммуникационной и вычислительной цифровой инфраструктуры Правительства Забайкальского края и формирование единого информационного пространства исполнительных органов Забайкальского края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уровня «цифровой 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релости»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государственного и муниципального управления, ключевых отраслей экономики и социальной сферы Забайкальского края, в том числе здравоохранения и образования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доли массовых социально значимых государственных и муниципальных услуг, предост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авляемых в электронном виде;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повышение уровня удовлетворенности жителей Забайкальского края качеством работы государственных и муниципальных служащих, в том числе при предоставлении массовых социально значимых государственных и муниципальных услуг в элект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ронном виде с использованием Единого портала государственных и муниципальных услуг (функций);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организация обеспечения устойчивой сотовой связью и (или) доступом к информационно-телекоммуникационной сети «Интернет» населенных пунктов Забайкальского края;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монт ОПС малочисленных и труднодоступных населенных пунктов Забайкальского края.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ffffff" w:themeColor="background1" w:fill="ffffff" w:themeFill="background1"/>
        </w:rPr>
        <w:t xml:space="preserve">Для достижения поставленных задач необ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ходимо обеспечить: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повышение защищенности критической информационной инфраструктуры Забайкальского края и устойчивости ее функционирования, в том числе в целях обеспечения устойчивого взаимодействия органов государственной власти и органов местного самоуправления Забайкальск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ого края, а также обеспечение безопасности информации, передаваемой и обрабатываемой в государственных, муниципальных и ведомственных информационных системах Забайкальского края;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развитие механизмов обнаружения и предупреждения информационных угроз и ликви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дации последствий их реализации;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создание регионального центра мониторинга информационной безопасности для своевременного реагирования на угрозы безопасности информации и открытия на его базе центра повышения компетенций специалистов по информационной безо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пасности;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проведение мероприятий по увеличению уровня «цифровой зрелости»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государственного и муниципального управления, ключевых отраслей экономики и социальной сферы Забайкальского края, в том числе здравоохранения и образования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цифровизацию процессов п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редоставления государственных и муниципальных услуг;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4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повышение качества и доступности предоставления государственных и муниципальных услуг, в том числе за счет снижения административных барьеров;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использование технологий искусственного интеллекта при вза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имодействии жителей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ab/>
        <w:t xml:space="preserve">Забайкальского края с государственными органами Забайкальского края;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red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обмен наборами данных искусственного интеллекта между регионами;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red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red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magenta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создание и ввод в эксплуатацию (либо внедрение федеральных) новых цифровых сервисов, таких как: Едина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я карта жителя Забайкальского края, Геоинформационный портал,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Дашборд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Губернатора» и других;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magenta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magenta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создание центра обработки данных Правительства Забайкальского края с объединением в единый инфраструктурный отказоустойчивый кластер имеющихся вычислительных мощн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остей с их последующим наращиванием;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обеспечение высокопроизводительной, отказоустойчивой и непрерывной работы инфраструктуры государственных информационных систем исполнительных органов Забайкальского края;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создание необходимой телекоммуникационной инфра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структуры для обеспечения широкополосным доступом к информационно-телекоммуникационной сети «Интернет» социально значимых объектов, а также эффективного и безопасного использования ими онлайн-сервисов;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развитие инфраструктуры связи в малочисленных населенн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ых пунктах;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финансирования из федерального бюджета для проведения капитального ремонта ОПС Забайкальского края, а также финансирование мероприятий по текущему ремонту ОПС Забайкальского края из федерального бюджета.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Ожидаемые результаты: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достиже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ние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к 2030 году до «цифровой зрелость» государственного и муниципального управления, ключевых отраслей экономики и социальной сферы Забайкальского края, в том числе здравоохранения и образования;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к 2030 году до 99 процентов доли предоставления 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ассовых социально значимых государственных и муниципальных услуг в электронной форме;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доли домохозяйств, которым обеспечена возможность качественного высокоскоростного широкополосного доступа к информационно-телекоммуникационной сети «Интернет»,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том числе с использованием сетей (инфраструктуры) спутниковой и мобильной связи и 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/>
        <w:t xml:space="preserve">учетом роста пропускной способности магистральной инфраструктуры,  до 97 процентов к 2030 году и до 99 процентов к 2036 году;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увеличение к 2030 году до 95 процентов дол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 использования российского программного обеспечения </w:t>
      </w:r>
      <w:r>
        <w:rPr>
          <w:rFonts w:ascii="Times New Roman" w:hAnsi="Times New Roman" w:eastAsia="Times New Roman" w:cs="Times New Roman"/>
          <w:color w:val="000000"/>
          <w:sz w:val="28"/>
        </w:rPr>
        <w:t xml:space="preserve">в деятельности исполнительных органов Забайкальского края.</w:t>
      </w:r>
      <w:r>
        <w:rPr>
          <w:rFonts w:ascii="Times New Roman" w:hAnsi="Times New Roman" w:eastAsia="Times New Roman" w:cs="Times New Roman"/>
          <w:color w:val="000000"/>
          <w:sz w:val="28"/>
        </w:rPr>
      </w:r>
      <w:r>
        <w:rPr>
          <w:rFonts w:ascii="Times New Roman" w:hAnsi="Times New Roman" w:eastAsia="Times New Roman" w:cs="Times New Roman"/>
          <w:color w:val="000000"/>
          <w:sz w:val="28"/>
        </w:rPr>
      </w:r>
    </w:p>
    <w:p>
      <w:pPr>
        <w:spacing w:after="0" w:line="240" w:lineRule="auto"/>
        <w:ind w:firstLine="567"/>
        <w:jc w:val="both"/>
        <w:rPr>
          <w:rFonts w:ascii="Times New Roman" w:hAnsi="Times New Roman" w:eastAsia="Times New Roman" w:cs="Times New Roman"/>
          <w:color w:val="000000"/>
          <w:sz w:val="28"/>
        </w:rPr>
      </w:pPr>
      <w:r>
        <w:rPr>
          <w:rFonts w:ascii="Times New Roman" w:hAnsi="Times New Roman" w:eastAsia="Times New Roman" w:cs="Times New Roman"/>
          <w:color w:val="000000"/>
          <w:sz w:val="28"/>
        </w:rPr>
      </w:r>
      <w:r>
        <w:rPr>
          <w:rFonts w:ascii="Times New Roman" w:hAnsi="Times New Roman" w:eastAsia="Times New Roman" w:cs="Times New Roman"/>
          <w:color w:val="000000"/>
          <w:sz w:val="28"/>
        </w:rPr>
      </w:r>
      <w:r>
        <w:rPr>
          <w:rFonts w:ascii="Times New Roman" w:hAnsi="Times New Roman" w:eastAsia="Times New Roman" w:cs="Times New Roman"/>
          <w:color w:val="000000"/>
          <w:sz w:val="28"/>
        </w:rPr>
      </w:r>
    </w:p>
    <w:p>
      <w:pPr>
        <w:pStyle w:val="1038"/>
        <w:spacing w:after="0" w:line="240" w:lineRule="auto"/>
        <w:ind w:left="0"/>
        <w:contextualSpacing w:val="0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bookmarkStart w:id="93" w:name="_Toc204259685"/>
      <w:r>
        <w:rPr>
          <w:rFonts w:ascii="Times New Roman" w:hAnsi="Times New Roman"/>
          <w:b/>
          <w:sz w:val="28"/>
          <w:szCs w:val="28"/>
        </w:rPr>
        <w:t xml:space="preserve">6.5. Территориальная организация оказания услуг </w:t>
      </w:r>
      <w:r>
        <w:rPr>
          <w:rFonts w:ascii="Times New Roman" w:hAnsi="Times New Roman"/>
          <w:b/>
          <w:sz w:val="28"/>
          <w:szCs w:val="28"/>
        </w:rPr>
        <w:br/>
        <w:t xml:space="preserve">отраслей социальной сферы</w:t>
      </w:r>
      <w:bookmarkEnd w:id="93"/>
      <w:r>
        <w:rPr>
          <w:rFonts w:ascii="Times New Roman" w:hAnsi="Times New Roman"/>
          <w:b/>
          <w:bCs/>
          <w:sz w:val="28"/>
          <w:szCs w:val="28"/>
        </w:rPr>
      </w:r>
      <w:r>
        <w:rPr>
          <w:rFonts w:ascii="Times New Roman" w:hAnsi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 xml:space="preserve">Социальная сфера</w:t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К 2024 году в Забайкальском крае сохраняется высокий уровень межмуниципального социально-экономического неравенства. Существует реальное понимание невозможности создания качественно одинаковых условий проживания на всей территории края, но выравнивание про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цесса получения базовых услуг отраслей социальной сферы – это первоочередная задача органов власти и местного самоуправления. 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Согласно рейтингу российских регионов по качеству жизни за последний за период с 2021 по 2024 показал отрицательную динамику, зан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имая одно из последних мест в рейтинге. В 2021 году Забайкальский край находился на 81 месте, в 2022 году позиция сместилась с 81 на 82 место, и стабильно находится на этой позиции с 2023 по 2024 год.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В данном процессе немаловажную роль играет фактор удале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нности муниципальных образований (округов), поэтому для региона существует потребность в повышении автономности многих муниципальных образований.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По итогам анализа удаленности муниципальных образований (округов) на территории с «высоким» разбросом поселени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й (далеко от Читы) проживает около 15 % всего населения края (159 тыс. чел.), на территории с компактным разбросом поселений (далеко от Читы) проживает 22 % населения (236 тыс. чел.), на территориях в относительной близости от Читы и с компактным разбросом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 поселений сосредоточено 30 % населения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br/>
        <w:t xml:space="preserve">(321 тыс. чел.). То есть 37 % населения Забайкальского края проживает на территориях, удаленных от Читы (более 300 км), что составляет практически 60 % всех муниципальных образований Забайкальского края. Возможность 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релокации поселений в настоящее время отсутствует, поэтому для выравнивания условий предоставления базовых услуг необходимо заложить разные подходы к определению автономности поселений для разных муниципальных образований.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В зависимости от удаленности насе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ленных пунктов и количества населения, проживающего на соответствующей территории, предлагается выделить группы муниципальных округов с различной степенью автономности населенных пунктов: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1) максимальная автономность поселений должна быть обеспечена для Ср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етенского, Хилокского районов и Газимуро-Заводского, Тунгокоченского муниципальных округов;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2) отдельные автономные населенные пункты (объединения населенных поселений) должны быть на территории Красночикойского, Читинского, Каларского муниципальных округо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в и Шилкинского, Чернышевского, Могочинского районов;</w:t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3) централизация основных услуг в административном центре и организация их подвоза должна быть обеспечена в Краснокаменском, Забайкальском, Балейском, Борзинском, Петровск-Забайкальском, Агинском и Калг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  <w:t xml:space="preserve">анском муниципальных округах.</w:t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  <w:r>
        <w:rPr>
          <w:rFonts w:ascii="Times New Roman" w:hAnsi="Times New Roman" w:eastAsia="Times New Roman" w:cs="Times New Roman"/>
          <w:bCs/>
          <w:color w:val="0d0d0d" w:themeColor="text1" w:themeTint="F2"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Одной из основных задач развития социальной сферы Стратегии пространственного развития Российской Федерации на период до 2030 года, утвержденной распоряжением Правительства Российской Федерации 28 декабря 2024 года № 4146-р яв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ляется сокращение дифференциации в социально-экономическом развитии территорий за счет формирования на базе опорных населенных пунктов социальной инфраструктуры, в том числе для жителей прилегающих территорий, а также использования населением выездных (моб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ильных) форм оказания услуг.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Социальное обслуживание граждан (социальное обслуживание на дому, в полустационарной форме, в стационарной форме) в Забайкальском крае предоставляется с учетом индивидуальных потребностей получателя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социальных услуг.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Социальное обслуживание на дому осуществляется в 28 государственных учреждениях социального обслуживания, в стационарной форме в 21 учреждении социального обслуживания Забайкальского края.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Социальные услуги на дому оказываются социальными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работниками по месту проживания получателя социальных услуг. Социальный работник, являясь сотрудником учреждения, расположенного в районном центре</w:t>
      </w:r>
      <w: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(опорный населенный пункт), выполняет трудовую деятельность в населенном пункте, в котором он проживает. 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сегодняшний день на социальном обслуживании на дому состоят 6586 человек, 4108 из которых проживают в сельской местности.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целях расширения спектра предоставления социальных услуг на дому в крае внедрена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стационарозамещающая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технология, приемная семья для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граждан пожилого возраста и инвалидов. Технология приемной семьи в условиях сложной социально-экономической ситуации являются альтернативой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стационарному обслуживанию не только из экономических соображений: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оставаясь в привычной обстановке, пожилой челове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 длительное время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сохраняет социальную активность, стабильное психоэмоциональное состояние и здоровье, что немаловажно для одиноких людей преклонного возраста.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мобильные бригады, которые позволяют гражданину оставаться в привычных домашних условиях и полу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чать помощь и поддержку. На сегодняшний день в крае действует 141 приемная семья. Еще одной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стационарозамещающей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формой работы на дому является мобильная бригада. Работа мобильной бригады осуществляется по двум направлениям: организация плановых выездов 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организация экстренных выездов по конкретным обращениям граждан. По экстренным вызовам выезд мобильной бригады организуется в минимальные сроки, в течение суток с момента поступления экстренной заявки. Мобильная бригада обеспечена соответствующим транспорт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ным средством, оснащена инструментом и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инвентарем необходимым для оказания услуг. Только за первый квартал 2025 года мобильными бригадами осуществлено 135 выездов к 460 гражданам, которым оказано 1547 услуг.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Кроме того, в Забайкальском крае в целях приближ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ения социальных услуг к сельскому населению действует служба участковых специалистов по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социальной работе. В настоящее время службой участковых специалистов охвачен 31 муниципальный район края, в городских районах участковых специалистов нет, т.к. участков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ая служба создавалась для обслуживания отдаленных населенных пунктов.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Каждый специалист обслуживает по 2-4 населенных пункта с населением от 800 до 2 тыс. человек. Основные направления деятельности: консультативно-информационная работа и содействие в оформ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лении документов на все виды выплат и их прием; работа с семьей на закрепленном участке. Ежегодно к участковым специалистам обращаются более 50% от общей численности населения, проживающего в сельских поселениях края, у населения нет необходимости выезжать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в районный центр за социальной помощью или консультациями. Главный положительный результат деятельности службы участковых специалистов по социальной работе заключается в значительном повышении доступности социальных услуг. Всю необходимую социальную помощ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 и поддержку жители края получают по месту жительства.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Мероприятия: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развитие службы участковых специалистов, в целях повышения доступности социальных услуг;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оказание социальных услуг гражданам пожилого возраста и инвалидам мобильными бригадами, созданными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на базе опорных населенных пунктов;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приемных семей для граждан пожилого возраста и инвалидов, нуждающихся в помощи и поддержке.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i/>
          <w:iCs/>
        </w:rPr>
      </w:pPr>
      <w:r>
        <w:rPr>
          <w:rFonts w:ascii="Times New Roman" w:hAnsi="Times New Roman" w:eastAsia="Times New Roman" w:cs="Times New Roman"/>
          <w:i/>
          <w:iCs/>
          <w:sz w:val="28"/>
          <w:szCs w:val="28"/>
        </w:rPr>
        <w:t xml:space="preserve">Здравоохранение</w:t>
      </w:r>
      <w:r>
        <w:rPr>
          <w:i/>
          <w:iCs/>
        </w:rPr>
      </w:r>
      <w:r>
        <w:rPr>
          <w:i/>
          <w:iCs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Пространственные приоритеты Забайкальского края включают в себя сист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ему из 34 опорных населенных пунктов, которые формируют системы расселения, инфраструктуры и экономики региона. В рамках реализации Стратегии Министерством здравоохранения Забайкальского 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рая реализуются следующие мероприятия: 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план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ирование объектов инфраструктуры на основе их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приоритизации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с учетом оценки социально-экономических эффектов;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центров, обеспечивающих доступ к медицинской помощи;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и развитие цифровой платформы у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правления комплексным социально-экономическим и пространственным развитием региона;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развитие модульного строительства зданий для организации оказания медицинской помощи населению края;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предоставление мер государственной поддержки при реализации проектов ко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мплексного развития территорий;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использование некоммерческой аренды, направленное на привлечение новых кадров в населенных пунктах;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обеспечение доступности медицинской помощи;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центров оказания медицинской помощи, обслуживающих несколько населенных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пунктов;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планирование развития объектов медицинской инфраструктуры с учетом разработанных карт размещения объектов здравоохранения, обеспечивающих доступность медицинской помощи и маршрутизацию пациентов;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первичных сосудистых центров, центров онк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ологической помощи, приемных отделений, женских консультаций, оказывающих медицинскую помощь;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организацию оказания дистанционных социальных услуг;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приоритеты пространственного развития учтены в национальных проектах и государств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енных программах в сфере здравоохранения.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 xml:space="preserve">Образование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целях создания условий для предоставления качественных образовательных услуг предусмотреть создание в опорных населенных пунктах образовательные комплексы в форматах «детский сад – школа», «школа – ш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кола», «детский сад – школа – учреждение дополнительного образования детей» путем реорганизации образовательных организаций, а также осуществление вспомогательных процессов в таких организациях посредством аутсорсинга.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Создание таких комплексов осуществлят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ь с учетом особенностей существующей образовательной сети, прогноза численности обучающихся в населенных пунктах. Кроме того, в целях выравнивания образовательных возможностей для обучающихся предусмотреть реализацию образовательных программ в сетевой форм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е, а также совместное использование кадровых и материально-технических ресурсов образовательных организаций всех уровней, в том числе созданных в рамках национальных проектов и государственных программ Российской Федерации.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Реализация данных мероприятий по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зволит повысить эффективность использования инфраструктуры образования, перераспределить бюджетные расходы на приоритетные направления развития системы (повышение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заработной платы педагогов, переподготовка и повышение квалификации работников системы, обнов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ление материально-технической базы организаций и др.), что в результате обеспечит возможность детям получать качественное образование в условиях, отвечающих современным требованиям, независимо от места проживания ребенка.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bCs/>
          <w:i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 xml:space="preserve">Культура</w:t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  <w:r>
        <w:rPr>
          <w:rFonts w:ascii="Times New Roman" w:hAnsi="Times New Roman" w:eastAsia="Times New Roman" w:cs="Times New Roman"/>
          <w:bCs/>
          <w:i/>
          <w:sz w:val="28"/>
          <w:szCs w:val="28"/>
        </w:rPr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Указом Президента РФ от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7 мая 2024 года № 309 определена национальная цель – реализация потенциала каждого человека, развитие его талантов, воспитание патриотичной и социально ответственной личности. 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Для достижения национальной цели установлены целевые показатели и задачи по ув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еличению доли молодых людей, участвующих в программах профессионального и личностного развития и патриотического воспитания, молодежи, вовлеченной в добровольческую и общественную деятельность, формирование эффективной системы выявления, поддержки и развит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ия способностей и талантов обучающихся детей и молодежи, продвижение традиционных российских духовно-нравственных ценностей, удовлетворенность граждан работой государственных и муниципальных организаций культуры, искусства и народного творчества.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 основн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ым направлениям и задачам пространственного развития территорий субъектов относятся: 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а) повышение доступности для населения услуг, предоставляемых организациями культуры; 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б)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повышение кадровой обеспеченности организаций культуры, (в первую очередь расположенных на сельских территориях), в том числе, являющихся опорными населенными пунктами.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Стоит отметить, что в настоящее время 40 % зданий учреждений культуры Забайкальского 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рая находятся в ненормативном состоянии (показатель самый высокий в ДФО).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 Для выполнения задач и целевых показателей, определенных Указом необходимо в рамках развития инфраструктуры осуществить: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а) строительство 60 объектов культуры (дома культуры, детс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кие школы искусств, музеи, библиотеки, фондохранилища для библиотек и музеев);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б) провести капитальные ремонты 140 домов культуры, 10 детских школ искусств, 13 музеев, 37 библиотек;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в) оснастить современным оборудованием 300 учреждений культуры.</w:t>
      </w:r>
    </w:p>
    <w:p>
      <w:pPr>
        <w:spacing w:after="0" w:line="240" w:lineRule="auto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части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кадровой составляющей: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г) реализация программы «Земский работник культуры»;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д) поэтапный рост заработной платы;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е) целевое обучение специалистов;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ж) повышение квалификации работников культуры.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Приоритетные объекты – объекты, находящиеся в опорных нас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еленных пунктах.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Задачи пространственного развития сферы культуры (развитие инфраструктуры, кадровая политика) решаются посредством реализации государственной программы Забайкальского края «Развитие культуры», федерального проекта «Семейные ценности и инф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раструктура культуры» национального проекта «Семья».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рамках федерального проекта «Развитие инфраструктуры в сельских населенных пунктах» национального проекта «Инфраструктура для жизни» на 2025 год по опорным населенным пунктам запланированы: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капитальн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ый ремонт и оснащение оборудованием ДШИ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г.Чита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с.Улеты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п.Оловянная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с.Нерчинский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Завод;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ремонт ДК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п.Приаргунск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создание модельных библиотек в городах Могоча, Хилок, селе Улеты;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возведение памятников участникам СВО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пгт.Горный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, поселке Карымская, с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еле Нижний Цасучей;</w:t>
      </w:r>
    </w:p>
    <w:p>
      <w:pPr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ремонт краевой библиотеки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Ц.Жамцарано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и оснащение муниципального театра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ДалиТЭ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 в 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п.Агинское</w:t>
      </w:r>
      <w:r>
        <w:rPr>
          <w:rFonts w:ascii="Times New Roman" w:hAnsi="Times New Roman" w:eastAsia="Times New Roman" w:cs="Times New Roman"/>
          <w:bCs/>
          <w:sz w:val="28"/>
          <w:szCs w:val="28"/>
        </w:rPr>
        <w:t xml:space="preserve">.</w:t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Cs/>
          <w:sz w:val="28"/>
          <w:szCs w:val="28"/>
        </w:rPr>
      </w:r>
    </w:p>
    <w:p>
      <w:pPr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2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Cs/>
          <w:i/>
          <w:iCs/>
          <w:sz w:val="28"/>
          <w:szCs w:val="28"/>
        </w:rPr>
        <w:t xml:space="preserve">Физическая культура и спорт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На территории Забайкальского края в сфере физической культуры и спорта до 2035 года с применением механизма Дальневосточная концессия будут построены следующие объекты: Российский центр стрельбы из лука в г. Чита, Центр единоборств в г. Чита.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В рамках феде</w:t>
      </w:r>
      <w:r>
        <w:rPr>
          <w:rFonts w:ascii="Times New Roman" w:hAnsi="Times New Roman" w:eastAsia="Calibri" w:cs="Times New Roman"/>
          <w:sz w:val="28"/>
          <w:szCs w:val="28"/>
        </w:rPr>
        <w:t xml:space="preserve">рального проекта «Бизнес-спринт (Я выбираю спорт)» до 2030 года будет создано 8 «умных» спортивных площадок из них 7 плоскостных сооружений, 1 в виде модульного сооружения.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В рамках федерального проекта «Развитие физической культуры и массового спорта» до </w:t>
      </w:r>
      <w:r>
        <w:rPr>
          <w:rFonts w:ascii="Times New Roman" w:hAnsi="Times New Roman" w:eastAsia="Calibri" w:cs="Times New Roman"/>
          <w:sz w:val="28"/>
          <w:szCs w:val="28"/>
        </w:rPr>
        <w:t xml:space="preserve">2027 года планируется создать 15 малых спортивных </w:t>
      </w:r>
      <w:r>
        <w:rPr>
          <w:rFonts w:ascii="Times New Roman" w:hAnsi="Times New Roman" w:eastAsia="Calibri" w:cs="Times New Roman"/>
          <w:sz w:val="28"/>
          <w:szCs w:val="28"/>
        </w:rPr>
        <w:t xml:space="preserve">площадок.м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В рамках федерального проекта «Развитие физической культуры и массового спорта» в 2027 году запланировано возведение 1 модульного спортивного сооружения.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В период с 2027 – 2028 годы планируется строительство Лыжно-биатлонного комплекса в г. Чита.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На террит</w:t>
      </w:r>
      <w:r>
        <w:rPr>
          <w:rFonts w:ascii="Times New Roman" w:hAnsi="Times New Roman" w:eastAsia="Calibri" w:cs="Times New Roman"/>
          <w:sz w:val="28"/>
          <w:szCs w:val="28"/>
        </w:rPr>
        <w:t xml:space="preserve">ории Забайкальского края в сфере физической культуры и спорта оказываются следующие социальные услуги: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- Государственная аккредитация региональных и общественных организаций или структурных подразделений (региональных отделений) общественной спортивной фед</w:t>
      </w:r>
      <w:r>
        <w:rPr>
          <w:rFonts w:ascii="Times New Roman" w:hAnsi="Times New Roman" w:eastAsia="Calibri" w:cs="Times New Roman"/>
          <w:sz w:val="28"/>
          <w:szCs w:val="28"/>
        </w:rPr>
        <w:t xml:space="preserve">ерации для наделения их статусом региональных спортивных федераций.</w:t>
      </w:r>
    </w:p>
    <w:p>
      <w:pPr>
        <w:spacing w:after="0" w:line="240" w:lineRule="auto"/>
        <w:ind w:firstLine="709"/>
        <w:jc w:val="both"/>
      </w:pPr>
      <w:r>
        <w:rPr>
          <w:rFonts w:ascii="Times New Roman" w:hAnsi="Times New Roman" w:eastAsia="Calibri" w:cs="Times New Roman"/>
          <w:sz w:val="28"/>
          <w:szCs w:val="28"/>
        </w:rPr>
        <w:t xml:space="preserve">- Присвоение и подтверждение спортивных разрядов, лишение и восстановление спортивных разрядов в порядке, установленном Положением и Единой Всероссийской спортивной квалификации.</w:t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- Присвое</w:t>
      </w:r>
      <w:r>
        <w:rPr>
          <w:rFonts w:ascii="Times New Roman" w:hAnsi="Times New Roman" w:eastAsia="Calibri" w:cs="Times New Roman"/>
          <w:sz w:val="28"/>
          <w:szCs w:val="28"/>
        </w:rPr>
        <w:t xml:space="preserve">ние, лишение и восстановление квалифицированных категории спортивных судей.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spacing w:after="0" w:line="240" w:lineRule="auto"/>
        <w:ind w:left="0"/>
        <w:contextualSpacing w:val="0"/>
        <w:jc w:val="center"/>
        <w:outlineLvl w:val="2"/>
        <w:rPr>
          <w:rFonts w:ascii="Times New Roman" w:hAnsi="Times New Roman"/>
          <w:b/>
          <w:sz w:val="28"/>
          <w:szCs w:val="28"/>
        </w:rPr>
      </w:pPr>
      <w:bookmarkStart w:id="94" w:name="_Toc204259686"/>
      <w:r>
        <w:rPr>
          <w:rFonts w:ascii="Times New Roman" w:hAnsi="Times New Roman"/>
          <w:b/>
          <w:sz w:val="28"/>
          <w:szCs w:val="28"/>
        </w:rPr>
        <w:t xml:space="preserve">6.6. </w:t>
      </w:r>
      <w:bookmarkStart w:id="95" w:name="_Hlk112773552"/>
      <w:r>
        <w:rPr>
          <w:rFonts w:ascii="Times New Roman" w:hAnsi="Times New Roman"/>
          <w:b/>
          <w:sz w:val="28"/>
          <w:szCs w:val="28"/>
        </w:rPr>
        <w:t xml:space="preserve">Социально-экономическое развитие </w:t>
      </w:r>
      <w:r>
        <w:rPr>
          <w:rFonts w:ascii="Times New Roman" w:hAnsi="Times New Roman"/>
          <w:b/>
          <w:sz w:val="28"/>
          <w:szCs w:val="28"/>
        </w:rPr>
        <w:br/>
        <w:t xml:space="preserve">Агинского Бурятского округа Забайкальского края</w:t>
      </w:r>
      <w:bookmarkEnd w:id="94"/>
      <w:bookmarkEnd w:id="95"/>
      <w:r>
        <w:rPr>
          <w:rFonts w:ascii="Times New Roman" w:hAnsi="Times New Roman"/>
          <w:b/>
          <w:sz w:val="28"/>
          <w:szCs w:val="28"/>
        </w:rPr>
      </w:r>
      <w:r>
        <w:rPr>
          <w:rFonts w:ascii="Times New Roman" w:hAnsi="Times New Roman"/>
          <w:b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Times New Roman" w:cs="Times New Roman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Численность населения Агинского Бурятского округа составляет 68,8 тыс. человек, или это, 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0,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05 % 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населения России, 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7% 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населения Забайкальского края, в том числе 65,1% - буряты, 32,5% - русские, 2,4% - лица других национальностей. В округе высокая доля сельского населения – 52,9%, при этом наблюдается её снижение. Естественный прирост населения имеет тенденцию к сокращению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, но коэффициент естественного прироста существенно выше, чем в среднем по краю. В 2023 году в округе естественный прирост 69 человек, или 1 человек на 1000 человек населения, </w:t>
      </w:r>
      <w:r>
        <w:rPr>
          <w:rFonts w:ascii="Times New Roman" w:hAnsi="Times New Roman" w:eastAsia="Times New Roman" w:cs="Times New Roman"/>
          <w:sz w:val="28"/>
          <w:szCs w:val="24"/>
          <w:lang w:eastAsia="ru-RU"/>
        </w:rPr>
        <w:t xml:space="preserve">по Забайкальскому краю – минус 3,2.</w:t>
      </w:r>
      <w:r>
        <w:rPr>
          <w:rFonts w:ascii="Times New Roman" w:hAnsi="Times New Roman" w:eastAsia="Times New Roman" w:cs="Times New Roman"/>
          <w:sz w:val="28"/>
          <w:szCs w:val="24"/>
        </w:rPr>
      </w:r>
      <w:r>
        <w:rPr>
          <w:rFonts w:ascii="Times New Roman" w:hAnsi="Times New Roman" w:eastAsia="Times New Roman" w:cs="Times New Roman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Times New Roman" w:cs="Times New Roman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Начиная с 2008 года по округу наблюдается ми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грационный отток населения и к концу 2024 года достиг показателя 193 человека. Основными факторами, влияющими на эти процессы, остаются низкий уровень заработной платы по сравнению с другими регионами и миграция молодежи в другие регионы РФ. </w:t>
      </w:r>
      <w:r>
        <w:rPr>
          <w:rFonts w:ascii="Times New Roman" w:hAnsi="Times New Roman" w:eastAsia="Times New Roman" w:cs="Times New Roman"/>
          <w:sz w:val="28"/>
          <w:szCs w:val="24"/>
        </w:rPr>
      </w:r>
      <w:r>
        <w:rPr>
          <w:rFonts w:ascii="Times New Roman" w:hAnsi="Times New Roman" w:eastAsia="Times New Roman" w:cs="Times New Roman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Times New Roman" w:cs="Times New Roman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Ключевые особ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енности социально-экономического развития территории Агинского Бурятского округа Забайкальского края обуславливают формирование определенных приоритетов (задач) социально-экономического развития, поскольку этнические ресурсы, которые носят не только эконом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ический характер, проявляясь в традиционном хозяйствовании, имеют ярко выраженную принадлежность к социальным ресурсам. 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Специфика территории Агинского Бурятского округа Забайкальского края обуславливает формирование определенных приоритетов (задач) социаль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но-экономического развития, на которых основана реализация поставленной цели.  </w:t>
      </w:r>
      <w:r>
        <w:rPr>
          <w:rFonts w:ascii="Times New Roman" w:hAnsi="Times New Roman" w:eastAsia="Times New Roman" w:cs="Times New Roman"/>
          <w:sz w:val="28"/>
          <w:szCs w:val="24"/>
        </w:rPr>
      </w:r>
      <w:r>
        <w:rPr>
          <w:rFonts w:ascii="Times New Roman" w:hAnsi="Times New Roman" w:eastAsia="Times New Roman" w:cs="Times New Roman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Times New Roman" w:cs="Times New Roman"/>
          <w:b/>
          <w:bCs/>
          <w:sz w:val="28"/>
          <w:szCs w:val="28"/>
        </w:rPr>
      </w:pP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Целью направления является сохранение и использование традиционного сектора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этноэкономики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региона для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достижения высокого уровня качества жизни населения Агинского Бурятского </w:t>
      </w:r>
      <w:r>
        <w:rPr>
          <w:rFonts w:ascii="Times New Roman" w:hAnsi="Times New Roman" w:eastAsia="Times New Roman" w:cs="Times New Roman"/>
          <w:b/>
          <w:bCs/>
          <w:sz w:val="28"/>
          <w:szCs w:val="28"/>
          <w:lang w:eastAsia="ru-RU"/>
        </w:rPr>
        <w:t xml:space="preserve">округа Забайкальского края.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  <w:r>
        <w:rPr>
          <w:rFonts w:ascii="Times New Roman" w:hAnsi="Times New Roman" w:eastAsia="Times New Roman" w:cs="Times New Roman"/>
          <w:b/>
          <w:bCs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sz w:val="28"/>
          <w:szCs w:val="28"/>
        </w:rPr>
        <w:t xml:space="preserve">Основные задачи для достижения цели: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shd w:val="clear" w:color="auto" w:fill="ffffff"/>
        <w:spacing w:after="0" w:line="283" w:lineRule="atLeast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1) создание условий для повышения уровня жизни сельского населения за счет формирования эффективного и конкурентоспособного сельскохозяйственного производства на основе развития традиционны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х форм (направлений) хозяйствования и смежных отраслей в сфере малого предпринимательства;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hd w:val="clear" w:color="auto" w:fill="ffffff"/>
        <w:spacing w:after="0" w:line="283" w:lineRule="atLeast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2) сохранение и развитие бурятского языка через реализацию системы мер по повышению качества этнокультурного образования и развитию человеческого капитала, соответст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вующего потребностям общества и экономики Агинского Бурятского округа;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hd w:val="clear" w:color="auto" w:fill="ffffff"/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3) с</w:t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оздание условий по в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озрождению, сохранению, развитию и популяризации национальной культуры, народного творчества, народных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художественных промыслов и ремесел народов, проживающих на территории Забайкальского края, в том числе и Агинского Бурятского округа при</w:t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  <w:lang w:eastAsia="ru-RU"/>
        </w:rPr>
        <w:t xml:space="preserve"> гармоничном взаи</w:t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модействии этнической бурятской культуры с современной цивилизацией и мировыми культурами;</w:t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</w:rPr>
      </w:r>
      <w:r>
        <w:rPr>
          <w:rFonts w:ascii="Times New Roman" w:hAnsi="Times New Roman" w:eastAsia="Calibri" w:cs="Times New Roman"/>
          <w:color w:val="000000"/>
          <w:sz w:val="28"/>
          <w:szCs w:val="28"/>
          <w:shd w:val="clear" w:color="auto" w:fill="ffffff"/>
        </w:rPr>
      </w:r>
    </w:p>
    <w:p>
      <w:pPr>
        <w:widowControl w:val="off"/>
        <w:spacing w:after="0" w:line="283" w:lineRule="atLeast"/>
        <w:ind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4) с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eastAsia="ru-RU"/>
        </w:rPr>
        <w:t xml:space="preserve">оздание устойчивой системы развития бурятских национальных видов спорта, выход бурятских национальных видов спорта на всероссийский и международный уровень;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5) создание условий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развития этнотуризма как бренда Аги в целях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продвижения культурного наследия коренного населения, повышения туристской привлекательности и обеспечения узнаваемости региона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;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color w:val="ff0000"/>
          <w:sz w:val="28"/>
          <w:szCs w:val="24"/>
        </w:rPr>
      </w:pPr>
      <w:r>
        <w:rPr>
          <w:rFonts w:ascii="Times New Roman" w:hAnsi="Times New Roman" w:eastAsia="Calibri" w:cs="Times New Roman"/>
          <w:color w:val="ff0000"/>
          <w:sz w:val="28"/>
          <w:szCs w:val="24"/>
        </w:rPr>
      </w:r>
      <w:r>
        <w:rPr>
          <w:rFonts w:ascii="Times New Roman" w:hAnsi="Times New Roman" w:eastAsia="Calibri" w:cs="Times New Roman"/>
          <w:color w:val="ff0000"/>
          <w:sz w:val="28"/>
          <w:szCs w:val="24"/>
        </w:rPr>
      </w:r>
      <w:r>
        <w:rPr>
          <w:rFonts w:ascii="Times New Roman" w:hAnsi="Times New Roman" w:eastAsia="Calibri" w:cs="Times New Roman"/>
          <w:color w:val="ff0000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sz w:val="28"/>
        </w:rPr>
        <w:t xml:space="preserve">Для снижения депопуляции территории Агинского Бурятского округа, в муниципальных районах которого наблюдается наибольший миграционный отток, необходимо в кратчайшие сроки запустить механизмы реализации представленных выше задач.</w:t>
      </w:r>
      <w:r>
        <w:rPr>
          <w:rFonts w:ascii="Times New Roman" w:hAnsi="Times New Roman" w:eastAsia="Calibri" w:cs="Times New Roman"/>
          <w:sz w:val="28"/>
        </w:rPr>
      </w:r>
      <w:r>
        <w:rPr>
          <w:rFonts w:ascii="Times New Roman" w:hAnsi="Times New Roman" w:eastAsia="Calibri" w:cs="Times New Roman"/>
          <w:sz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b/>
          <w:bCs/>
          <w:sz w:val="28"/>
        </w:rPr>
        <w:t xml:space="preserve">По первой стратегической за</w:t>
      </w:r>
      <w:r>
        <w:rPr>
          <w:rFonts w:ascii="Times New Roman" w:hAnsi="Times New Roman" w:eastAsia="Calibri" w:cs="Times New Roman"/>
          <w:b/>
          <w:bCs/>
          <w:sz w:val="28"/>
        </w:rPr>
        <w:t xml:space="preserve">даче</w:t>
      </w:r>
      <w:r>
        <w:rPr>
          <w:rFonts w:ascii="Times New Roman" w:hAnsi="Times New Roman" w:eastAsia="Calibri" w:cs="Times New Roman"/>
          <w:sz w:val="28"/>
        </w:rPr>
        <w:t xml:space="preserve"> необходимо реализовать следующие проекты:</w:t>
      </w:r>
      <w:r>
        <w:rPr>
          <w:rFonts w:ascii="Times New Roman" w:hAnsi="Times New Roman" w:eastAsia="Calibri" w:cs="Times New Roman"/>
          <w:sz w:val="28"/>
        </w:rPr>
      </w:r>
      <w:r>
        <w:rPr>
          <w:rFonts w:ascii="Times New Roman" w:hAnsi="Times New Roman" w:eastAsia="Calibri" w:cs="Times New Roman"/>
          <w:sz w:val="28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Осуществление массированного огораживания пастбищ и сенокосов;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Переход на содержание овец на 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монокомплексах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Организация круглогодовых 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фидлотов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 в скотоводстве;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Формирование комплексной системы полевого кормопр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оизводства под потребности овцеводства и скотоводства;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Организация розлива воды на источнике «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Кильгинда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»; 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Производство шерстяной нити и трикотажного производства;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numPr>
          <w:numId w:val="21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sz w:val="28"/>
          <w:szCs w:val="24"/>
        </w:rPr>
      </w:pPr>
      <w:r>
        <w:rPr>
          <w:rFonts w:ascii="Times New Roman" w:hAnsi="Times New Roman" w:eastAsia="Times New Roman"/>
          <w:sz w:val="28"/>
          <w:szCs w:val="24"/>
          <w:lang w:eastAsia="ru-RU"/>
        </w:rPr>
        <w:t xml:space="preserve">Производство теплоизоляционных материалов на основе базальтового волокна. </w:t>
      </w:r>
      <w:r>
        <w:rPr>
          <w:rFonts w:ascii="Times New Roman" w:hAnsi="Times New Roman" w:eastAsia="Times New Roman"/>
          <w:sz w:val="28"/>
          <w:szCs w:val="24"/>
        </w:rPr>
      </w:r>
      <w:r>
        <w:rPr>
          <w:rFonts w:ascii="Times New Roman" w:hAnsi="Times New Roman" w:eastAsia="Times New Roman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</w:rPr>
      </w:pPr>
      <w:r>
        <w:rPr>
          <w:rFonts w:ascii="Times New Roman" w:hAnsi="Times New Roman" w:eastAsia="Calibri" w:cs="Times New Roman"/>
          <w:b/>
          <w:bCs/>
          <w:sz w:val="28"/>
        </w:rPr>
        <w:t xml:space="preserve">По второй стратег</w:t>
      </w:r>
      <w:r>
        <w:rPr>
          <w:rFonts w:ascii="Times New Roman" w:hAnsi="Times New Roman" w:eastAsia="Calibri" w:cs="Times New Roman"/>
          <w:b/>
          <w:bCs/>
          <w:sz w:val="28"/>
        </w:rPr>
        <w:t xml:space="preserve">ической задаче</w:t>
      </w:r>
      <w:r>
        <w:rPr>
          <w:rFonts w:ascii="Times New Roman" w:hAnsi="Times New Roman" w:eastAsia="Calibri" w:cs="Times New Roman"/>
          <w:sz w:val="28"/>
        </w:rPr>
        <w:t xml:space="preserve"> необходимо реализовать следующие проекты:</w:t>
      </w:r>
      <w:r>
        <w:rPr>
          <w:rFonts w:ascii="Times New Roman" w:hAnsi="Times New Roman" w:eastAsia="Calibri" w:cs="Times New Roman"/>
          <w:sz w:val="28"/>
        </w:rPr>
      </w:r>
      <w:r>
        <w:rPr>
          <w:rFonts w:ascii="Times New Roman" w:hAnsi="Times New Roman" w:eastAsia="Calibri" w:cs="Times New Roman"/>
          <w:sz w:val="28"/>
        </w:rPr>
      </w:r>
    </w:p>
    <w:p>
      <w:pPr>
        <w:pStyle w:val="1038"/>
        <w:numPr>
          <w:numId w:val="22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b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 xml:space="preserve">проект по созданию </w:t>
      </w:r>
      <w:r>
        <w:rPr>
          <w:rFonts w:ascii="Times New Roman" w:hAnsi="Times New Roman"/>
          <w:color w:val="000000"/>
          <w:sz w:val="28"/>
          <w:szCs w:val="24"/>
        </w:rPr>
        <w:t xml:space="preserve">монолингвальных</w:t>
      </w:r>
      <w:r>
        <w:rPr>
          <w:rFonts w:ascii="Times New Roman" w:hAnsi="Times New Roman"/>
          <w:color w:val="000000"/>
          <w:sz w:val="28"/>
          <w:szCs w:val="24"/>
        </w:rPr>
        <w:t xml:space="preserve"> групп по погружению в бурятскую языковую среду в детских образовательных учреждениях Агинского бурятского округа;</w:t>
      </w:r>
      <w:r>
        <w:rPr>
          <w:rFonts w:ascii="Times New Roman" w:hAnsi="Times New Roman" w:eastAsia="Times New Roman"/>
          <w:b/>
          <w:color w:val="000000"/>
          <w:sz w:val="28"/>
          <w:szCs w:val="24"/>
        </w:rPr>
      </w:r>
      <w:r>
        <w:rPr>
          <w:rFonts w:ascii="Times New Roman" w:hAnsi="Times New Roman" w:eastAsia="Times New Roman"/>
          <w:b/>
          <w:color w:val="000000"/>
          <w:sz w:val="28"/>
          <w:szCs w:val="24"/>
        </w:rPr>
      </w:r>
    </w:p>
    <w:p>
      <w:pPr>
        <w:pStyle w:val="1038"/>
        <w:numPr>
          <w:numId w:val="22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  <w:shd w:val="clear" w:color="auto" w:fill="ffffff"/>
        </w:rPr>
      </w:pPr>
      <w:r>
        <w:rPr>
          <w:rFonts w:ascii="Times New Roman" w:hAnsi="Times New Roman" w:eastAsia="Times New Roman"/>
          <w:color w:val="000000"/>
          <w:sz w:val="28"/>
          <w:szCs w:val="24"/>
          <w:shd w:val="clear" w:color="auto" w:fill="ffffff"/>
          <w:lang w:eastAsia="ru-RU"/>
        </w:rPr>
        <w:t xml:space="preserve">создание на базе школ общественных объединений «ET</w:t>
      </w:r>
      <w:r>
        <w:rPr>
          <w:rFonts w:ascii="Times New Roman" w:hAnsi="Times New Roman" w:eastAsia="Times New Roman"/>
          <w:color w:val="000000"/>
          <w:sz w:val="28"/>
          <w:szCs w:val="24"/>
          <w:shd w:val="clear" w:color="auto" w:fill="ffffff"/>
          <w:lang w:eastAsia="ru-RU"/>
        </w:rPr>
        <w:t xml:space="preserve">NO-град»;</w:t>
      </w:r>
      <w:r>
        <w:rPr>
          <w:rFonts w:ascii="Times New Roman" w:hAnsi="Times New Roman" w:eastAsia="Times New Roman"/>
          <w:color w:val="000000"/>
          <w:sz w:val="28"/>
          <w:szCs w:val="24"/>
          <w:shd w:val="clear" w:color="auto" w:fill="ffffff"/>
        </w:rPr>
      </w:r>
      <w:r>
        <w:rPr>
          <w:rFonts w:ascii="Times New Roman" w:hAnsi="Times New Roman" w:eastAsia="Times New Roman"/>
          <w:color w:val="000000"/>
          <w:sz w:val="28"/>
          <w:szCs w:val="24"/>
          <w:shd w:val="clear" w:color="auto" w:fill="ffffff"/>
        </w:rPr>
      </w:r>
    </w:p>
    <w:p>
      <w:pPr>
        <w:pStyle w:val="1038"/>
        <w:numPr>
          <w:numId w:val="22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b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создание многофункционального молодежного центра «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Агын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залуушуул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» для этнокультурного развития детей и молодежи;</w:t>
      </w:r>
      <w:r>
        <w:rPr>
          <w:rFonts w:ascii="Times New Roman" w:hAnsi="Times New Roman" w:eastAsia="Times New Roman"/>
          <w:b/>
          <w:color w:val="000000"/>
          <w:sz w:val="28"/>
          <w:szCs w:val="24"/>
        </w:rPr>
      </w:r>
      <w:r>
        <w:rPr>
          <w:rFonts w:ascii="Times New Roman" w:hAnsi="Times New Roman" w:eastAsia="Times New Roman"/>
          <w:b/>
          <w:color w:val="000000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По третьей стратегической задаче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необходимо реализовать следующие проекты: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numPr>
          <w:numId w:val="23"/>
          <w:ilvl w:val="0"/>
        </w:numPr>
        <w:spacing w:after="0" w:line="283" w:lineRule="atLeast"/>
        <w:ind w:left="0" w:firstLine="709"/>
        <w:contextualSpacing/>
        <w:jc w:val="both"/>
        <w:rPr>
          <w:rFonts w:ascii="Times New Roman" w:hAnsi="Times New Roman" w:eastAsia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Проект по созданию Дома ремесел. </w:t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  <w:r>
        <w:rPr>
          <w:rFonts w:ascii="Times New Roman" w:hAnsi="Times New Roman" w:eastAsia="Times New Roman" w:cs="Times New Roman"/>
          <w:i/>
          <w:sz w:val="28"/>
          <w:szCs w:val="28"/>
        </w:rPr>
      </w:r>
    </w:p>
    <w:p>
      <w:pPr>
        <w:pStyle w:val="1038"/>
        <w:widowControl w:val="off"/>
        <w:numPr>
          <w:numId w:val="23"/>
          <w:ilvl w:val="0"/>
        </w:numPr>
        <w:spacing w:after="0" w:line="283" w:lineRule="atLeast"/>
        <w:ind w:hanging="21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Участие и проведение Международного бурятского фестиваля «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Алтаргана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»;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widowControl w:val="off"/>
        <w:numPr>
          <w:numId w:val="23"/>
          <w:ilvl w:val="0"/>
        </w:numPr>
        <w:spacing w:after="0" w:line="283" w:lineRule="atLeast"/>
        <w:ind w:hanging="21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Реализация и продолжение проекта «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Арадайм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алтан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абдар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val="en-US" w:eastAsia="ru-RU"/>
        </w:rPr>
        <w:t xml:space="preserve">h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аа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» (Кладезь народной мудрости)</w:t>
      </w:r>
      <w:r>
        <w:rPr>
          <w:rFonts w:ascii="Times New Roman" w:hAnsi="Times New Roman" w:eastAsia="Times New Roman"/>
          <w:sz w:val="28"/>
          <w:szCs w:val="28"/>
          <w:shd w:val="clear" w:color="auto" w:fill="ffffff"/>
          <w:lang w:eastAsia="ru-RU"/>
        </w:rPr>
        <w:t xml:space="preserve">.</w:t>
      </w:r>
      <w:r>
        <w:rPr>
          <w:rFonts w:ascii="Times New Roman" w:hAnsi="Times New Roman" w:eastAsia="Times New Roman"/>
          <w:color w:val="000000"/>
          <w:spacing w:val="-3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</w:rPr>
        <w:t xml:space="preserve">По четвертой стратегической задаче</w:t>
      </w:r>
      <w:r>
        <w:rPr>
          <w:rFonts w:ascii="Times New Roman" w:hAnsi="Times New Roman" w:eastAsia="Calibri" w:cs="Times New Roman"/>
          <w:sz w:val="28"/>
          <w:szCs w:val="28"/>
        </w:rPr>
        <w:t xml:space="preserve"> необходимо реализовать следующие проекты:</w:t>
      </w:r>
      <w:r>
        <w:rPr>
          <w:rFonts w:ascii="Times New Roman" w:hAnsi="Times New Roman" w:eastAsia="Calibri" w:cs="Times New Roman"/>
          <w:sz w:val="28"/>
          <w:szCs w:val="28"/>
        </w:rPr>
      </w:r>
      <w:r>
        <w:rPr>
          <w:rFonts w:ascii="Times New Roman" w:hAnsi="Times New Roman" w:eastAsia="Calibri" w:cs="Times New Roman"/>
          <w:sz w:val="28"/>
          <w:szCs w:val="28"/>
        </w:rPr>
      </w:r>
    </w:p>
    <w:p>
      <w:pPr>
        <w:pStyle w:val="1038"/>
        <w:widowControl w:val="off"/>
        <w:numPr>
          <w:numId w:val="26"/>
          <w:ilvl w:val="0"/>
        </w:numPr>
        <w:spacing w:after="0" w:line="283" w:lineRule="atLeast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проведение межрегиональных и всероссийских соревнований по 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национальным видам спорта;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widowControl w:val="off"/>
        <w:numPr>
          <w:numId w:val="26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проведение мужского троеборья «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Бабжын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Наадан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» на международном уровне;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pStyle w:val="1038"/>
        <w:widowControl w:val="off"/>
        <w:numPr>
          <w:numId w:val="26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4"/>
        </w:rPr>
      </w:pP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присвоение всероссийск</w:t>
      </w:r>
      <w:r>
        <w:rPr>
          <w:rFonts w:ascii="Times New Roman" w:hAnsi="Times New Roman" w:eastAsia="Times New Roman"/>
          <w:color w:val="000000"/>
          <w:sz w:val="28"/>
          <w:szCs w:val="24"/>
          <w:lang w:eastAsia="ru-RU"/>
        </w:rPr>
        <w:t xml:space="preserve">их спортивных разрядов и званий по национальным видам спорта.</w:t>
      </w:r>
      <w:r>
        <w:rPr>
          <w:rFonts w:ascii="Times New Roman" w:hAnsi="Times New Roman" w:eastAsia="Times New Roman"/>
          <w:color w:val="000000"/>
          <w:sz w:val="28"/>
          <w:szCs w:val="24"/>
        </w:rPr>
      </w:r>
      <w:r>
        <w:rPr>
          <w:rFonts w:ascii="Times New Roman" w:hAnsi="Times New Roman" w:eastAsia="Times New Roman"/>
          <w:color w:val="000000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sz w:val="28"/>
          <w:szCs w:val="32"/>
        </w:rPr>
      </w:pPr>
      <w:r>
        <w:rPr>
          <w:rFonts w:ascii="Times New Roman" w:hAnsi="Times New Roman" w:eastAsia="Calibri" w:cs="Times New Roman"/>
          <w:b/>
          <w:bCs/>
          <w:sz w:val="28"/>
          <w:szCs w:val="32"/>
        </w:rPr>
        <w:t xml:space="preserve">По пятой стратегической задаче</w:t>
      </w:r>
      <w:r>
        <w:rPr>
          <w:rFonts w:ascii="Times New Roman" w:hAnsi="Times New Roman" w:eastAsia="Calibri" w:cs="Times New Roman"/>
          <w:sz w:val="28"/>
          <w:szCs w:val="32"/>
        </w:rPr>
        <w:t xml:space="preserve"> необходимо реализовать следующие проекты:</w:t>
      </w:r>
      <w:r>
        <w:rPr>
          <w:rFonts w:ascii="Times New Roman" w:hAnsi="Times New Roman" w:eastAsia="Calibri" w:cs="Times New Roman"/>
          <w:sz w:val="28"/>
          <w:szCs w:val="32"/>
        </w:rPr>
      </w:r>
      <w:r>
        <w:rPr>
          <w:rFonts w:ascii="Times New Roman" w:hAnsi="Times New Roman" w:eastAsia="Calibri" w:cs="Times New Roman"/>
          <w:sz w:val="28"/>
          <w:szCs w:val="32"/>
        </w:rPr>
      </w:r>
    </w:p>
    <w:p>
      <w:pPr>
        <w:numPr>
          <w:numId w:val="24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Реализация проекта по улучшению инфраструктуры на территории МАУ «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Алхана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 тур»;</w:t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</w:p>
    <w:p>
      <w:pPr>
        <w:numPr>
          <w:numId w:val="24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Проведение 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гастрофестиваля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 «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Хорхог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. Агинская баранина на камнях» на международном уровне;</w:t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</w:p>
    <w:p>
      <w:pPr>
        <w:numPr>
          <w:numId w:val="24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Реализация проектов по созданию 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экотроп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;</w:t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</w:p>
    <w:p>
      <w:pPr>
        <w:numPr>
          <w:numId w:val="24"/>
          <w:ilvl w:val="0"/>
        </w:numPr>
        <w:spacing w:after="0" w:line="283" w:lineRule="atLeast"/>
        <w:ind w:left="0" w:firstLine="709"/>
        <w:jc w:val="both"/>
        <w:rPr>
          <w:rFonts w:ascii="Times New Roman" w:hAnsi="Times New Roman" w:eastAsia="Times New Roman" w:cs="Times New Roman"/>
          <w:color w:val="000000"/>
          <w:sz w:val="28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Реализация проектов по созданию мест размещени</w:t>
      </w:r>
      <w:r>
        <w:rPr>
          <w:rFonts w:ascii="Times New Roman" w:hAnsi="Times New Roman" w:eastAsia="Times New Roman" w:cs="Times New Roman"/>
          <w:color w:val="000000"/>
          <w:sz w:val="28"/>
          <w:szCs w:val="24"/>
          <w:lang w:eastAsia="ru-RU"/>
        </w:rPr>
        <w:t xml:space="preserve">я.</w:t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  <w:r>
        <w:rPr>
          <w:rFonts w:ascii="Times New Roman" w:hAnsi="Times New Roman" w:eastAsia="Times New Roman" w:cs="Times New Roman"/>
          <w:color w:val="000000"/>
          <w:sz w:val="28"/>
          <w:szCs w:val="24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r>
      <w:r>
        <w:rPr>
          <w:rFonts w:ascii="Times New Roman" w:hAnsi="Times New Roman" w:eastAsia="Calibri" w:cs="Times New Roman"/>
          <w:b/>
          <w:bCs/>
          <w:i/>
          <w:iCs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  <w:t xml:space="preserve">Ожидаемые результаты </w:t>
      </w:r>
      <w:r>
        <w:rPr>
          <w:rFonts w:ascii="Times New Roman" w:hAnsi="Times New Roman" w:cs="Times New Roman"/>
          <w:iCs/>
          <w:sz w:val="28"/>
          <w:szCs w:val="28"/>
        </w:rPr>
        <w:t xml:space="preserve">в 2035 году:</w:t>
      </w:r>
      <w:r>
        <w:rPr>
          <w:rFonts w:ascii="Times New Roman" w:hAnsi="Times New Roman" w:cs="Times New Roman"/>
          <w:iCs/>
          <w:sz w:val="28"/>
          <w:szCs w:val="28"/>
        </w:rPr>
      </w:r>
      <w:r>
        <w:rPr>
          <w:rFonts w:ascii="Times New Roman" w:hAnsi="Times New Roman" w:cs="Times New Roman"/>
          <w:iCs/>
          <w:sz w:val="28"/>
          <w:szCs w:val="28"/>
        </w:rPr>
      </w:r>
    </w:p>
    <w:p>
      <w:pPr>
        <w:spacing w:after="0" w:line="283" w:lineRule="atLeast"/>
        <w:ind w:firstLine="709"/>
        <w:jc w:val="both"/>
        <w:rPr>
          <w:rFonts w:ascii="Times New Roman" w:hAnsi="Times New Roman" w:eastAsia="Calibri" w:cs="Times New Roman"/>
          <w:iCs/>
          <w:sz w:val="28"/>
          <w:szCs w:val="28"/>
        </w:rPr>
      </w:pP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  <w:r>
        <w:rPr>
          <w:rFonts w:ascii="Times New Roman" w:hAnsi="Times New Roman" w:eastAsia="Calibri" w:cs="Times New Roman"/>
          <w:iCs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Увеличение к 2035 году индекса производства продукции сельского хозяйства (в сопоставимых ценах) к уровню 2020 года – 111,2%;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Увеличение к 2035 году численности субъектов малого предпринимательства и самозанятых к уро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вню 2020 года – в 2,4 раза;</w:t>
      </w:r>
      <w:r>
        <w:rPr>
          <w:rFonts w:ascii="Times New Roman" w:hAnsi="Times New Roman" w:eastAsia="Times New Roman"/>
          <w:sz w:val="28"/>
          <w:szCs w:val="28"/>
        </w:rPr>
      </w:r>
      <w:r>
        <w:rPr>
          <w:rFonts w:ascii="Times New Roman" w:hAnsi="Times New Roman" w:eastAsia="Times New Roman"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количество детей школьного возраста, владеющих бурятским языком – 65%;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обеспеченность учебной литературой по бурятскому языку и литературе – 80%;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увеличение к 2035 году количества участников этнокультурных массовых мероприятий, фестивалей и конкурсов, </w:t>
      </w:r>
      <w:r>
        <w:rPr>
          <w:rFonts w:ascii="Times New Roman" w:hAnsi="Times New Roman"/>
          <w:sz w:val="28"/>
          <w:szCs w:val="28"/>
        </w:rPr>
        <w:t xml:space="preserve">направленных на развитие национальной культуры,</w:t>
      </w:r>
      <w: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к уровню 2020 года – в 1,6 раза;</w:t>
      </w:r>
      <w: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увеличение к 2035 году доли населения округа, систематически занимаю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щегося национальными видами спорта - 13 %;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pStyle w:val="1038"/>
        <w:numPr>
          <w:numId w:val="25"/>
          <w:ilvl w:val="0"/>
        </w:numPr>
        <w:shd w:val="clear" w:color="auto" w:fill="ffffff"/>
        <w:spacing w:after="0" w:line="283" w:lineRule="atLeast"/>
        <w:ind w:left="0" w:firstLine="709"/>
        <w:jc w:val="both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увеличение количества участников спортивно-массовых, в том числе по национальным видам спорта к 2035 г. – 14 200 человек;</w:t>
      </w:r>
      <w:r>
        <w:rPr>
          <w:rFonts w:ascii="Times New Roman" w:hAnsi="Times New Roman" w:eastAsia="Times New Roman"/>
          <w:color w:val="000000"/>
          <w:sz w:val="28"/>
          <w:szCs w:val="28"/>
        </w:rPr>
      </w:r>
      <w:r>
        <w:rPr>
          <w:rFonts w:ascii="Times New Roman" w:hAnsi="Times New Roman" w:eastAsia="Times New Roman"/>
          <w:color w:val="000000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увеличение к 2035 году туристского потока к уровню 2020 г. – в 3 раза.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7. МЕХАНИЗМ РЕАЛИЗА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ЦИИ СТРАТЕГИИ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Стратегии предусмотрена путем разработки и выполнения Плана реализации Стратегии. Положения Стратегии детализируются в государственных программах Забайкальского края с учетом необходимости ресурсного обеспечения, в том числе опред</w:t>
      </w:r>
      <w:r>
        <w:rPr>
          <w:rFonts w:ascii="Times New Roman" w:hAnsi="Times New Roman" w:cs="Times New Roman"/>
          <w:sz w:val="28"/>
          <w:szCs w:val="28"/>
        </w:rPr>
        <w:t xml:space="preserve">еленного в соответствии бюджетным прогнозом Забайкальского края на долгосрочный период.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Мероприятия по реализации основных положений Стратегии включаются в План реализации Стратегии.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и План реализации Стратегии подлежат актуализации по мере ее ре</w:t>
      </w:r>
      <w:r>
        <w:rPr>
          <w:rFonts w:ascii="Times New Roman" w:hAnsi="Times New Roman" w:cs="Times New Roman"/>
          <w:sz w:val="28"/>
          <w:szCs w:val="28"/>
        </w:rPr>
        <w:t xml:space="preserve">ализации с учетом изменений внешних и внутренних факторов развития Забайкальского края.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Правительство Забайкальского края готовит ежегодный отчет о ходе исполнения Плана реализации Стратегии.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contextualSpacing/>
        <w:jc w:val="center"/>
        <w:outlineLvl w:val="2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bookmarkStart w:id="96" w:name="_Toc131433276"/>
      <w:bookmarkStart w:id="97" w:name="_Toc204259687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7.1. Этапы реализации Стратегии</w:t>
      </w:r>
      <w:bookmarkEnd w:id="96"/>
      <w:bookmarkEnd w:id="97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Стратегия реализуется в течени</w:t>
      </w:r>
      <w:r>
        <w:rPr>
          <w:rFonts w:ascii="Times New Roman" w:hAnsi="Times New Roman" w:cs="Times New Roman"/>
          <w:sz w:val="28"/>
          <w:szCs w:val="28"/>
        </w:rPr>
        <w:t xml:space="preserve">е 14 лет (2023-2035 годы) в три этапа: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left="709"/>
        <w:contextualSpacing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первый этап: 2023-2024 годы;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ind w:left="709"/>
        <w:contextualSpacing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второй этап: 2025-2029 годы;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ind w:left="709"/>
        <w:contextualSpacing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третий этап: 2030-2035 годы.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spacing w:after="0" w:line="240" w:lineRule="auto"/>
        <w:contextualSpacing/>
        <w:jc w:val="center"/>
        <w:outlineLvl w:val="2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bookmarkStart w:id="98" w:name="_Toc131433277"/>
      <w:bookmarkStart w:id="99" w:name="_Toc204259688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7.2. Инструменты реализации Стратегии</w:t>
      </w:r>
      <w:bookmarkEnd w:id="98"/>
      <w:bookmarkEnd w:id="99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инструментами реализации Стратегии являются государственные программы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Забайкальского края, которые определяются </w:t>
      </w:r>
      <w:bookmarkStart w:id="100" w:name="_Hlk131436406"/>
      <w:r>
        <w:rPr>
          <w:rFonts w:ascii="Times New Roman" w:hAnsi="Times New Roman" w:cs="Times New Roman"/>
          <w:sz w:val="28"/>
          <w:szCs w:val="28"/>
        </w:rPr>
        <w:t xml:space="preserve">Правительством Забайкальского края </w:t>
      </w:r>
      <w:bookmarkEnd w:id="100"/>
      <w:r>
        <w:rPr>
          <w:rFonts w:ascii="Times New Roman" w:hAnsi="Times New Roman" w:cs="Times New Roman"/>
          <w:sz w:val="28"/>
          <w:szCs w:val="28"/>
        </w:rPr>
        <w:t xml:space="preserve">и включаются в перечень государственных Забайкальского края (Приложение К).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Приоритеты, цели и зада</w:t>
      </w:r>
      <w:r>
        <w:rPr>
          <w:rFonts w:ascii="Times New Roman" w:hAnsi="Times New Roman" w:cs="Times New Roman"/>
          <w:sz w:val="28"/>
          <w:szCs w:val="28"/>
        </w:rPr>
        <w:t xml:space="preserve">чи социально-экономического развития Забайкальского края могут быть детализированы в отраслевых документах стратегического планирования Забайкальского края (Приложение Л).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проводится оценка эффективности реализации государственных программ Забайка</w:t>
      </w:r>
      <w:r>
        <w:rPr>
          <w:rFonts w:ascii="Times New Roman" w:hAnsi="Times New Roman" w:cs="Times New Roman"/>
          <w:sz w:val="28"/>
          <w:szCs w:val="28"/>
        </w:rPr>
        <w:t xml:space="preserve">льского края.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contextualSpacing/>
        <w:jc w:val="center"/>
        <w:outlineLvl w:val="2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bookmarkStart w:id="101" w:name="_Toc131433278"/>
      <w:bookmarkStart w:id="102" w:name="_Toc204259689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7.3. Финансирование мероприятий Стратегии</w:t>
      </w:r>
      <w:bookmarkEnd w:id="101"/>
      <w:bookmarkEnd w:id="102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бюджетных расходов должна быть трансформирована и ориентирована на достижение стратегических целей и задач. Объемы и источники финансирования Стратегии определяются в государственных прог</w:t>
      </w:r>
      <w:r>
        <w:rPr>
          <w:rFonts w:ascii="Times New Roman" w:hAnsi="Times New Roman" w:cs="Times New Roman"/>
          <w:sz w:val="28"/>
          <w:szCs w:val="28"/>
        </w:rPr>
        <w:t xml:space="preserve">раммах Забайкальского края, являющихся основным инструментом стыковки стратегического и бюджетного планирования.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финансовыми механизмами реализации Стратегии являются государственные программы Забайкальского края и Российской Федерации, федеральн</w:t>
      </w:r>
      <w:r>
        <w:rPr>
          <w:rFonts w:ascii="Times New Roman" w:hAnsi="Times New Roman" w:cs="Times New Roman"/>
          <w:sz w:val="28"/>
          <w:szCs w:val="28"/>
        </w:rPr>
        <w:t xml:space="preserve">ая и региональная адресные инвестиционные программы, национальные проекты Российской Федерации, программы и </w:t>
      </w:r>
      <w:r>
        <w:rPr>
          <w:rFonts w:ascii="Times New Roman" w:hAnsi="Times New Roman" w:cs="Times New Roman"/>
          <w:sz w:val="28"/>
          <w:szCs w:val="28"/>
        </w:rPr>
        <w:t xml:space="preserve">проекты края, реализуемые совместно с федеральными институтами развития.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Источниками финансового обеспечения Стратегии являются: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средства федерально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го бюджета, в том числе в рамках реализации государственных Российской Федерации и мероприятий Национальной программы развития Дальнего Востока, бюджета края, местных бюджетов;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ind w:left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средства федеральных и региональных институтов развития;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ind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частное финансирован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ие и привлеченные средства, в том числе кредиты банков.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разрезе направлений Стратегии объемы финансирования будут уточняться: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из бюджетных источников </w:t>
      </w:r>
      <w:r>
        <w:rPr>
          <w:rFonts w:ascii="Symbol" w:hAnsi="Symbol" w:eastAsia="Symbol" w:cs="Symbol"/>
          <w:sz w:val="28"/>
          <w:szCs w:val="28"/>
        </w:rPr>
        <w:t xml:space="preserve"></w:t>
      </w:r>
      <w:r>
        <w:rPr>
          <w:rFonts w:ascii="Times New Roman" w:hAnsi="Times New Roman" w:cs="Times New Roman"/>
          <w:sz w:val="28"/>
          <w:szCs w:val="28"/>
        </w:rPr>
        <w:t xml:space="preserve"> ежегодно на трехлетний период в рамках государственных программ Забайкальского края и Российской Фе</w:t>
      </w:r>
      <w:r>
        <w:rPr>
          <w:rFonts w:ascii="Times New Roman" w:hAnsi="Times New Roman" w:cs="Times New Roman"/>
          <w:sz w:val="28"/>
          <w:szCs w:val="28"/>
        </w:rPr>
        <w:t xml:space="preserve">дерации (в пределах установленных объемов расходов бюджетной системы Российской Федерации на соответствующий финансовый период);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993" w:leader="none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из внебюджетных источников </w:t>
      </w:r>
      <w:r>
        <w:rPr>
          <w:rFonts w:ascii="Symbol" w:hAnsi="Symbol" w:eastAsia="Symbol" w:cs="Symbol"/>
          <w:sz w:val="28"/>
          <w:szCs w:val="28"/>
        </w:rPr>
        <w:t xml:space="preserve"></w:t>
      </w:r>
      <w:r>
        <w:rPr>
          <w:rFonts w:ascii="Times New Roman" w:hAnsi="Times New Roman" w:cs="Times New Roman"/>
          <w:sz w:val="28"/>
          <w:szCs w:val="28"/>
        </w:rPr>
        <w:t xml:space="preserve"> в рамках реализуемых на территории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Забайкальского края инвестиционных проектов, соглашений о со</w:t>
      </w:r>
      <w:r>
        <w:rPr>
          <w:rFonts w:ascii="Times New Roman" w:hAnsi="Times New Roman" w:cs="Times New Roman"/>
          <w:sz w:val="28"/>
          <w:szCs w:val="28"/>
        </w:rPr>
        <w:t xml:space="preserve">циально-экономическом сотрудничестве, государственно-частном партнерстве и иных соглашений с инвесторами.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tabs>
          <w:tab w:val="left" w:pos="993" w:leader="none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contextualSpacing/>
        <w:jc w:val="center"/>
        <w:outlineLvl w:val="2"/>
        <w:rPr>
          <w:rFonts w:ascii="Times New Roman" w:hAnsi="Times New Roman" w:eastAsia="Calibri" w:cs="Times New Roman"/>
          <w:b/>
          <w:sz w:val="28"/>
          <w:szCs w:val="28"/>
          <w:lang w:eastAsia="en-US"/>
        </w:rPr>
      </w:pPr>
      <w:bookmarkStart w:id="103" w:name="_Toc131433279"/>
      <w:bookmarkStart w:id="104" w:name="_Toc204259690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  <w:t xml:space="preserve">7.4. Мониторинг и оценка реализации Стратегии</w:t>
      </w:r>
      <w:bookmarkEnd w:id="103"/>
      <w:bookmarkEnd w:id="104"/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Мониторинг и контроль реализации Страте</w:t>
      </w:r>
      <w:r>
        <w:rPr>
          <w:rFonts w:ascii="Times New Roman" w:hAnsi="Times New Roman" w:cs="Times New Roman"/>
          <w:sz w:val="28"/>
          <w:szCs w:val="28"/>
        </w:rPr>
        <w:t xml:space="preserve">гии осуществляются на основе данных официального статистического наблюдения, о ходе реализации и оценке эффективности государственных программ Забайкальского края, а также иной информации, представляемой исполнительными органами власти Забайкальского края.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Документами, в которых отражаются результаты мониторинга реализации Стратегии, являются: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numPr>
          <w:numId w:val="4"/>
          <w:ilvl w:val="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ежегодный отчет о ходе выполнения плана реализации Стратегии;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numPr>
          <w:numId w:val="4"/>
          <w:ilvl w:val="0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сводный годовой доклад о ходе реализации и об оценке эффективности государственных программ Забайкальского края.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1134" w:left="1985" w:header="708" w:footer="708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05" w:name="_Toc204259691"/>
      <w:r>
        <w:rPr>
          <w:rFonts w:ascii="Times New Roman" w:hAnsi="Times New Roman" w:cs="Times New Roman"/>
          <w:sz w:val="28"/>
          <w:szCs w:val="28"/>
        </w:rPr>
        <w:t xml:space="preserve">ПРИЛОЖЕНИЕ А</w:t>
      </w:r>
      <w:bookmarkEnd w:id="105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Освоенность территории Забайкальского края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8000" cy="5180400"/>
                <wp:effectExtent l="0" t="0" r="635" b="1270"/>
                <wp:docPr id="6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Забайкаль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rcRect l="2040" t="4811" r="1879" b="5388"/>
                        <a:stretch/>
                      </pic:blipFill>
                      <pic:spPr bwMode="auto">
                        <a:xfrm>
                          <a:off x="0" y="0"/>
                          <a:ext cx="7848000" cy="518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617.95pt;height:407.91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bookmarkStart w:id="106" w:name="_Hlk113030721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Б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Транспортная инфраструктура Забайкальского края</w:t>
      </w:r>
      <w:bookmarkEnd w:id="106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8000" cy="5198400"/>
                <wp:effectExtent l="0" t="0" r="635" b="2540"/>
                <wp:docPr id="7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Забкра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rcRect l="2176" t="4803" r="1912" b="5280"/>
                        <a:stretch/>
                      </pic:blipFill>
                      <pic:spPr bwMode="auto">
                        <a:xfrm>
                          <a:off x="0" y="0"/>
                          <a:ext cx="7848000" cy="5198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617.95pt;height:409.32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07" w:name="_Toc204259692"/>
      <w:bookmarkStart w:id="108" w:name="_Hlk113030794"/>
      <w:r>
        <w:rPr>
          <w:rFonts w:ascii="Times New Roman" w:hAnsi="Times New Roman" w:cs="Times New Roman"/>
          <w:sz w:val="28"/>
          <w:szCs w:val="28"/>
        </w:rPr>
        <w:t xml:space="preserve">ПРИЛОЖЕНИЕ В</w:t>
      </w:r>
      <w:bookmarkEnd w:id="107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Энергосистема Забайкальского края</w:t>
      </w:r>
      <w:bookmarkEnd w:id="108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8000" cy="5180400"/>
                <wp:effectExtent l="0" t="0" r="635" b="1270"/>
                <wp:docPr id="8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Забкра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rcRect l="2089" t="4926" r="1921" b="5414"/>
                        <a:stretch/>
                      </pic:blipFill>
                      <pic:spPr bwMode="auto">
                        <a:xfrm>
                          <a:off x="0" y="0"/>
                          <a:ext cx="7848000" cy="5180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617.95pt;height:407.91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567" w:bottom="851" w:left="1985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09" w:name="_Toc204259693"/>
      <w:r>
        <w:rPr>
          <w:rFonts w:ascii="Times New Roman" w:hAnsi="Times New Roman" w:cs="Times New Roman"/>
          <w:sz w:val="28"/>
          <w:szCs w:val="28"/>
        </w:rPr>
        <w:t xml:space="preserve">ПРИЛОЖЕНИЕ Г</w:t>
      </w:r>
      <w:bookmarkEnd w:id="109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Количественная оценка рисков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tbl>
      <w:tblPr>
        <w:tblW w:w="1483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3320"/>
        <w:gridCol w:w="6592"/>
        <w:gridCol w:w="689"/>
        <w:gridCol w:w="1598"/>
        <w:gridCol w:w="1225"/>
        <w:gridCol w:w="1406"/>
      </w:tblGrid>
      <w:tr>
        <w:trPr>
          <w:jc w:val="center"/>
          <w:trHeight w:val="300"/>
        </w:trPr>
        <w:tblPrEx/>
        <w:tc>
          <w:tcPr>
            <w:tcW w:w="3320" w:type="dxa"/>
            <w:vMerge w:val="restart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Риск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6592" w:type="dxa"/>
            <w:vMerge w:val="restart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Характеристика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689" w:type="dxa"/>
            <w:vMerge w:val="restart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Ранг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1598" w:type="dxa"/>
            <w:vMerge w:val="restart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Коэффициент значимости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2631" w:type="dxa"/>
            <w:gridSpan w:val="2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Оценка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</w:tr>
      <w:tr>
        <w:trPr>
          <w:jc w:val="center"/>
          <w:trHeight w:val="300"/>
        </w:trPr>
        <w:tblPrEx/>
        <w:tc>
          <w:tcPr>
            <w:tcW w:w="3320" w:type="dxa"/>
            <w:vMerge w:val="continue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6592" w:type="dxa"/>
            <w:vMerge w:val="continue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689" w:type="dxa"/>
            <w:vMerge w:val="continue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1598" w:type="dxa"/>
            <w:vMerge w:val="continue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Балльная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b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Балльно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  <w:t xml:space="preserve">- взвешенная</w:t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lang w:eastAsia="ru-RU"/>
              </w:rPr>
            </w:r>
          </w:p>
        </w:tc>
      </w:tr>
      <w:tr>
        <w:trPr>
          <w:jc w:val="center"/>
          <w:trHeight w:val="1688"/>
        </w:trPr>
        <w:tblPrEx/>
        <w:tc>
          <w:tcPr>
            <w:tcW w:w="3320" w:type="dxa"/>
            <w:shd w:val="clear" w:color="auto" w:fill="auto"/>
            <w:noWrap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Макроэкономические риски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  <w:vAlign w:val="bottom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Ухудшение мировой конъюнктуры на рынках РФ вследствие введения санкций ЕС на импорт товаров для Забайкальского края несет множество структурных рисков, в том числе снижение цен на минерально-сырьевые ресурсы, снижение рентабельности добычи ресурсов, осущес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твляемой на территории края, что может привести к отказу инвесторов от реализации проектов в горнодобывающей промышленности.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0,25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741"/>
        </w:trPr>
        <w:tblPrEx/>
        <w:tc>
          <w:tcPr>
            <w:tcW w:w="3320" w:type="dxa"/>
            <w:shd w:val="clear" w:color="auto" w:fill="auto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Высокий уровень конкуренции в макрорегионах ДФО и СФО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  <w:vAlign w:val="bottom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На территории макрорегионов (ДФО и СФО) достаточное количество субъектов РФ, характеризующихся более развитой транспортно-логистической системой, более низкими тарифами на энергоресурсы.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0,14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3,2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0,46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1178"/>
        </w:trPr>
        <w:tblPrEx/>
        <w:tc>
          <w:tcPr>
            <w:tcW w:w="3320" w:type="dxa"/>
            <w:shd w:val="clear" w:color="auto" w:fill="auto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Риск недофинансирования и реализации не в полном объеме федеральных государственных программ, в том числе в социальной сфере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Наступление риска может быть усилено в связи с ухудшением макроэкономической ситуации и, как следствие, сокращением расходов федера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льного бюджета, направляемых на реализацию мероприятий программ.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0,21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3,5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0,75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1481"/>
        </w:trPr>
        <w:tblPrEx/>
        <w:tc>
          <w:tcPr>
            <w:tcW w:w="3320" w:type="dxa"/>
            <w:shd w:val="clear" w:color="auto" w:fill="auto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Риск нарастания финансово-экономических кризисов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Сокращение доходных статей бюджета может привести к замедлению инвестиционного и инновационного развития, последующему накоплению социальных проблем.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br/>
              <w:t xml:space="preserve">Значительное влияние на реализацию Стратегии может оказать отказ или изменение планов крупных инвесторов 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проектов, формирующих стратегическую ось развития, сокращение инвестиционных программ естественных монополий.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0,18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0,71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1270"/>
        </w:trPr>
        <w:tblPrEx/>
        <w:tc>
          <w:tcPr>
            <w:tcW w:w="3320" w:type="dxa"/>
            <w:shd w:val="clear" w:color="auto" w:fill="auto"/>
            <w:noWrap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Социально-демографические риски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  <w:vAlign w:val="bottom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Сокращен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ие численности населения в долгосрочной перспективе может оказать влияние на значительное сокращение трудового потенциала края. отсутствие мест приложения труда ведет к миграционному оттоку, а также появлению "застойной бедности" и снижению качества жизни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0,11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0,32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1837"/>
        </w:trPr>
        <w:tblPrEx/>
        <w:tc>
          <w:tcPr>
            <w:tcW w:w="3320" w:type="dxa"/>
            <w:shd w:val="clear" w:color="auto" w:fill="auto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Риски пространственного развития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  <w:vAlign w:val="bottom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Высокий уровень межмуниципального социально-экономического неравенства, невозможность создания качественно одинаковых условий проживания на всей территории края заключаются в том, что в силу концентрации экономической активности в краевом центре и близлежа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щих территориях усиливаются риски территориальных диспропорций, что негативно сказывается на качестве жизни населения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0,04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0,11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1599"/>
        </w:trPr>
        <w:tblPrEx/>
        <w:tc>
          <w:tcPr>
            <w:tcW w:w="3320" w:type="dxa"/>
            <w:shd w:val="clear" w:color="auto" w:fill="auto"/>
            <w:noWrap/>
            <w:textDirection w:val="lrTb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Технологическое отставание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592" w:type="dxa"/>
            <w:shd w:val="clear" w:color="auto" w:fill="auto"/>
            <w:noWrap w:val="false"/>
            <w:textDirection w:val="lrTb"/>
            <w:vAlign w:val="bottom"/>
          </w:tcPr>
          <w:p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Высокая степень износа и низкая степень модернизации основных фондов, недоступность новых технологий и отсутствие импортозамещения в   связи с ухудшением макроэкономической ситуации может привести к еще большему снижению конкурентоспособности продукции, пр</w:t>
            </w: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оизводимой на территории края. 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0,07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0,21</w: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</w:r>
          </w:p>
        </w:tc>
      </w:tr>
      <w:tr>
        <w:trPr>
          <w:jc w:val="center"/>
          <w:trHeight w:val="300"/>
        </w:trPr>
        <w:tblPrEx/>
        <w:tc>
          <w:tcPr>
            <w:tcW w:w="9912" w:type="dxa"/>
            <w:gridSpan w:val="2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Итого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689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28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598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225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23,7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3,56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</w:tr>
      <w:tr>
        <w:trPr>
          <w:jc w:val="center"/>
          <w:trHeight w:val="300"/>
        </w:trPr>
        <w:tblPrEx/>
        <w:tc>
          <w:tcPr>
            <w:tcW w:w="13424" w:type="dxa"/>
            <w:gridSpan w:val="5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Оценка уровня риска, %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  <w:tc>
          <w:tcPr>
            <w:tcW w:w="1406" w:type="dxa"/>
            <w:shd w:val="clear" w:color="auto" w:fill="auto"/>
            <w:noWrap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lang w:eastAsia="ru-RU"/>
              </w:rPr>
              <w:t xml:space="preserve">3,56/5=0,71</w:t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lang w:eastAsia="ru-RU"/>
              </w:rPr>
            </w:r>
          </w:p>
        </w:tc>
      </w:tr>
    </w:tbl>
    <w:p>
      <w:pPr>
        <w:pStyle w:val="103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  <w:sectPr>
          <w:footnotePr/>
          <w:endnotePr/>
          <w:type w:val="nextPage"/>
          <w:pgSz w:w="16838" w:h="11906" w:orient="landscape"/>
          <w:pgMar w:top="1134" w:right="567" w:bottom="567" w:left="1134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0" w:name="_Toc204259694"/>
      <w:r>
        <w:rPr>
          <w:rFonts w:ascii="Times New Roman" w:hAnsi="Times New Roman" w:cs="Times New Roman"/>
          <w:sz w:val="28"/>
          <w:szCs w:val="28"/>
        </w:rPr>
        <w:t xml:space="preserve">ПРИЛОЖЕНИЕ Д</w:t>
      </w:r>
      <w:bookmarkEnd w:id="110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Минерально-сырьевые ресурсы Забайкальского края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8000" cy="5173200"/>
                <wp:effectExtent l="0" t="0" r="635" b="8890"/>
                <wp:docPr id="9" name="Рисунок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Забкра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2152" t="4971" r="1768" b="5387"/>
                        <a:stretch/>
                      </pic:blipFill>
                      <pic:spPr bwMode="auto">
                        <a:xfrm>
                          <a:off x="0" y="0"/>
                          <a:ext cx="7848000" cy="5173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617.95pt;height:407.34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 w:clear="all"/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1" w:name="_Toc204259695"/>
      <w:r>
        <w:rPr>
          <w:rFonts w:ascii="Times New Roman" w:hAnsi="Times New Roman" w:cs="Times New Roman"/>
          <w:sz w:val="28"/>
          <w:szCs w:val="28"/>
        </w:rPr>
        <w:t xml:space="preserve">ПРИЛОЖЕНИЕ Е</w:t>
      </w:r>
      <w:bookmarkEnd w:id="111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Земли сельскохозяйственного назначения Забайкальского края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8000" cy="5194800"/>
                <wp:effectExtent l="0" t="0" r="635" b="6350"/>
                <wp:docPr id="10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Забкра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rcRect l="2175" t="4804" r="1822" b="5284"/>
                        <a:stretch/>
                      </pic:blipFill>
                      <pic:spPr bwMode="auto">
                        <a:xfrm>
                          <a:off x="0" y="0"/>
                          <a:ext cx="7848000" cy="519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617.95pt;height:409.04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2" w:name="_Toc204259696"/>
      <w:r>
        <w:rPr>
          <w:rFonts w:ascii="Times New Roman" w:hAnsi="Times New Roman" w:cs="Times New Roman"/>
          <w:sz w:val="28"/>
          <w:szCs w:val="28"/>
        </w:rPr>
        <w:t xml:space="preserve">ПРИЛОЖЕНИЕ Ж</w:t>
      </w:r>
      <w:bookmarkEnd w:id="112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Лесные ресурсы Забайкальского края</w: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848000" cy="5191200"/>
                <wp:effectExtent l="0" t="0" r="635" b="9525"/>
                <wp:docPr id="11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Забкрай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rcRect l="2176" t="4803" r="1918" b="5408"/>
                        <a:stretch/>
                      </pic:blipFill>
                      <pic:spPr bwMode="auto">
                        <a:xfrm>
                          <a:off x="0" y="0"/>
                          <a:ext cx="7848000" cy="5191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617.95pt;height:408.76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  <w:sectPr>
          <w:footnotePr/>
          <w:endnotePr/>
          <w:type w:val="nextPage"/>
          <w:pgSz w:w="16838" w:h="11906" w:orient="landscape"/>
          <w:pgMar w:top="1134" w:right="567" w:bottom="851" w:left="1985" w:header="709" w:footer="709" w:gutter="0"/>
          <w:cols w:num="1" w:sep="0" w:space="708" w:equalWidth="1"/>
          <w:docGrid w:linePitch="360"/>
        </w:sect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pStyle w:val="1031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13" w:name="_Toc204259697"/>
      <w:r>
        <w:rPr>
          <w:rFonts w:ascii="Times New Roman" w:hAnsi="Times New Roman" w:cs="Times New Roman"/>
          <w:sz w:val="28"/>
          <w:szCs w:val="28"/>
        </w:rPr>
        <w:t xml:space="preserve">ПРИЛОЖЕНИЕ И</w:t>
      </w:r>
      <w:bookmarkEnd w:id="113"/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14" w:name="_Hlk113119462"/>
      <w:r>
        <w:rPr>
          <w:rFonts w:ascii="Times New Roman" w:hAnsi="Times New Roman" w:cs="Times New Roman"/>
          <w:b/>
          <w:bCs/>
          <w:sz w:val="28"/>
          <w:szCs w:val="28"/>
        </w:rPr>
        <w:t xml:space="preserve">Ключевые показатели Стратегии социально экономического развития Забайкальского края до 2035 года</w:t>
      </w:r>
      <w:bookmarkEnd w:id="114"/>
      <w:r>
        <w:rPr>
          <w:rFonts w:ascii="Times New Roman" w:hAnsi="Times New Roman" w:cs="Times New Roman"/>
          <w:b/>
          <w:bCs/>
          <w:sz w:val="28"/>
          <w:szCs w:val="28"/>
        </w:rPr>
      </w:r>
      <w:r>
        <w:rPr>
          <w:rFonts w:ascii="Times New Roman" w:hAnsi="Times New Roman" w:cs="Times New Roman"/>
          <w:b/>
          <w:bCs/>
          <w:sz w:val="28"/>
          <w:szCs w:val="28"/>
        </w:rPr>
      </w:r>
    </w:p>
    <w:tbl>
      <w:tblPr>
        <w:tblStyle w:val="1033"/>
        <w:tblW w:w="9745" w:type="dxa"/>
        <w:tblLayout w:type="fixed"/>
        <w:tblLook w:val="04A0" w:firstRow="1" w:lastRow="0" w:firstColumn="1" w:lastColumn="0" w:noHBand="0" w:noVBand="1"/>
      </w:tblPr>
      <w:tblGrid>
        <w:gridCol w:w="458"/>
        <w:gridCol w:w="3761"/>
        <w:gridCol w:w="1134"/>
        <w:gridCol w:w="878"/>
        <w:gridCol w:w="878"/>
        <w:gridCol w:w="879"/>
        <w:gridCol w:w="878"/>
        <w:gridCol w:w="879"/>
      </w:tblGrid>
      <w:tr>
        <w:trPr>
          <w:trHeight w:val="235"/>
          <w:tblHeader/>
        </w:trPr>
        <w:tblPrEx/>
        <w:tc>
          <w:tcPr>
            <w:tcW w:w="458" w:type="dxa"/>
            <w:vMerge w:val="restart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№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vMerge w:val="restart"/>
            <w:noWrap w:val="false"/>
            <w:textDirection w:val="lrTb"/>
          </w:tcPr>
          <w:p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показателя</w:t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vMerge w:val="restart"/>
            <w:noWrap w:val="false"/>
            <w:textDirection w:val="lrTb"/>
            <w:vAlign w:val="center"/>
          </w:tcPr>
          <w:p>
            <w:pPr>
              <w:spacing w:line="240" w:lineRule="auto"/>
              <w:ind w:left="-103" w:right="-11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sz w:val="24"/>
                <w:szCs w:val="24"/>
                <w:lang w:eastAsia="ru-RU"/>
              </w:rPr>
              <w:t xml:space="preserve">Базовое значение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2021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4392" w:type="dxa"/>
            <w:gridSpan w:val="5"/>
            <w:noWrap w:val="false"/>
            <w:textDirection w:val="lrTb"/>
            <w:vAlign w:val="center"/>
          </w:tcPr>
          <w:p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Целевое значение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>
          <w:trHeight w:val="317"/>
          <w:tblHeader/>
        </w:trPr>
        <w:tblPrEx/>
        <w:tc>
          <w:tcPr>
            <w:tcW w:w="458" w:type="dxa"/>
            <w:vMerge w:val="continue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vMerge w:val="continue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vMerge w:val="continue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2022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2023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2024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2030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2035 год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 (в среднегодовом исчислении), тыс.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24"/>
              </w:rPr>
              <w:t xml:space="preserve">(в ред. постановления Правительства Забайкальского края от 6.02.2024 № 32)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1027,0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996,5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988,4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984,1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945,3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934,6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80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Ожидаемая продолжительность жизни, лет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67,8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67,2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66,5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72,7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437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Коэффициент рождаемости, человек на 1000 населения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10,2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Суммарный коэффициент рождаемости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1,6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Коэффициент смертности, человек на 1000 населения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15,8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13,5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ru-RU"/>
              </w:rPr>
              <w:t xml:space="preserve">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Смертность населения трудоспособного возраста, человек на 100 тыс. населения соответствующего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652,9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615,5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578,0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544,8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 xml:space="preserve">395,1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295,0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30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бедности,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15,8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15,4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Уровень безработицы,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944"/>
        </w:trPr>
        <w:tblPrEx/>
        <w:tc>
          <w:tcPr>
            <w:tcW w:w="458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Доля граждан, систематически занимающихся физической культурой и спортом, 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50,8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Уровень образования, 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59,4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59,3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67,8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73,4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Количество семей, улучшивших жилищные условия, тыс. семей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21,8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25,5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Общая площадь жилых помещений, квадратных метров на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одного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 жителя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24,2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505"/>
        </w:trPr>
        <w:tblPrEx/>
        <w:tc>
          <w:tcPr>
            <w:tcW w:w="458" w:type="dxa"/>
            <w:shd w:val="clear" w:color="auto" w:fill="ffffff" w:themeFill="background1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13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shd w:val="clear" w:color="auto" w:fill="ffffff" w:themeFill="background1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Качество окружающей среды, 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106,3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104,2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108,3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108,3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shd w:val="clear" w:color="auto" w:fill="ffffff" w:themeFill="background1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14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Доля твердых коммунальных отходов, направленных на обработку (сортировку), в общей массе образованных твердых коммунальных отходов, 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17,8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ffffff" w:themeFill="background1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428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15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физического объема ВРП,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115,2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147,4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150,4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263,4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386,7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16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производительности труда,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99,9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132,1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184,7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18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17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Реальная начисленная заработная плата,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118,5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192,9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245,5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18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Реальные располагаемые денежные доходы населения,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96,2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103,3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112,9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187,9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244,2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/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19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физического объема инвестиций в основной капитал,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78,5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120,9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143,0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181,3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099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20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Индекс производства продукции сельского хозяйства в хозяйствах всех категорий,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97,8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92,4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85,7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111,6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702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21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  <w:vAlign w:val="center"/>
          </w:tcPr>
          <w:p>
            <w:pPr>
              <w:spacing w:after="0" w:line="283" w:lineRule="atLeas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Темп роста (индекс роста) численности занятых в сфере МСП, включая индивидуальных предпринимателей и самозанятых, % к 2021 году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109,4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108,40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117,7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671"/>
        </w:trPr>
        <w:tblPrEx/>
        <w:tc>
          <w:tcPr>
            <w:tcW w:w="458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22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Объем экспорта, % к 2021 году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107,4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139,1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161,8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314,5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678,4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Среднегодовая численность занятых в экономике, тыс.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14"/>
                <w:szCs w:val="24"/>
              </w:rPr>
              <w:t xml:space="preserve">(строка дополнена в ред. постановления Правительства Забайкальского края от 6.02.2024 № 32)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456,8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435,9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427,4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424,0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*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449,9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auto" w:fill="auto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455,3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Потребность в кадровом обеспечении экономики, в том числе по видам экономической деятельности и группам занятий, тыс. чел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80,31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64,61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75,21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62,61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71,61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72,81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290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Количество организаций, принимающих участие в реализации мероприятий по подготовке кадровых ресурсов, ед.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36,0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43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26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Темп роста (индекс роста) дохода в расчете на одного работника субъекта МСП, % к базовому 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2024 году*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100,0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128,1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153,8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 xml:space="preserve">Доля молодых людей, участвующих в проектах и программах, направленных на профессиональное, личностное развитие и патриотической воспитание, %</w: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28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молодых людей, вовлеченных в добровольческую и общественную деятельность,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14,2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29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молодых людей,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вовлеченных в мероприятия, направленные на профессиональное развитие,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35,7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Охват молодежи деятельностью инфраструктуры молодежной политики,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44,0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45,0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120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31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молодых людей, участвующих в проектах и программах, направленных на патриотическое воспитание,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77,0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78,0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872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32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Доля молодых семей, в т.ч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молодых семей имеющих детей, участвующих в мероприятиях по продвижению традиционных духовно-нравственных ценностей, в том числе в проектах и программах, направленных на патриотическое воспитание, вовлечение в добровольческую и общественную деятельность,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11,4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12,0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rPr>
          <w:trHeight w:val="290"/>
        </w:trPr>
        <w:tblPrEx/>
        <w:tc>
          <w:tcPr>
            <w:tcW w:w="458" w:type="dxa"/>
            <w:noWrap w:val="false"/>
            <w:textDirection w:val="lrTb"/>
          </w:tcPr>
          <w:p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33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3761" w:type="dxa"/>
            <w:noWrap w:val="false"/>
            <w:textDirection w:val="lrTb"/>
          </w:tcPr>
          <w:p>
            <w:pPr>
              <w:spacing w:after="113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Улучшение качества среды для жизни в опорных населенных пунктах, %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  <w:p>
            <w:pPr>
              <w:spacing w:after="57" w:line="192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(до 2024 года – индекс качества городской среды, % к 2021 году)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>
          </w:p>
        </w:tc>
        <w:tc>
          <w:tcPr>
            <w:tcW w:w="1134" w:type="dxa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145,0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154,0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169,0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8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W w:w="879" w:type="dxa"/>
            <w:shd w:val="clear" w:color="ffffff" w:fill="ffffff"/>
            <w:noWrap w:val="false"/>
            <w:textDirection w:val="lrTb"/>
            <w:vAlign w:val="center"/>
          </w:tcPr>
          <w:p>
            <w:pPr>
              <w:spacing w:after="0" w:line="240" w:lineRule="auto"/>
              <w:ind w:left="-75" w:right="-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54,0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spacing w:after="0" w:line="240" w:lineRule="auto"/>
        <w:rPr>
          <w:rFonts w:ascii="Times New Roman" w:hAnsi="Times New Roman" w:eastAsia="Calibri" w:cs="Times New Roman"/>
          <w:sz w:val="20"/>
          <w:szCs w:val="20"/>
          <w:lang w:eastAsia="ru-RU"/>
        </w:rPr>
      </w:pP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0"/>
          <w:szCs w:val="20"/>
          <w:lang w:eastAsia="ru-RU"/>
        </w:rPr>
      </w:pP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0"/>
          <w:szCs w:val="20"/>
          <w:lang w:eastAsia="ru-RU"/>
        </w:rPr>
      </w:pP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0"/>
          <w:szCs w:val="20"/>
          <w:lang w:eastAsia="ru-RU"/>
        </w:rPr>
      </w:pP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  <w:r>
        <w:rPr>
          <w:rFonts w:ascii="Times New Roman" w:hAnsi="Times New Roman" w:eastAsia="Calibri" w:cs="Times New Roman"/>
          <w:sz w:val="20"/>
          <w:szCs w:val="20"/>
          <w:lang w:eastAsia="ru-RU"/>
        </w:rPr>
      </w:r>
    </w:p>
    <w:p>
      <w:pPr>
        <w:widowControl w:val="off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40" w:lineRule="auto"/>
        <w:outlineLvl w:val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115" w:name="_Toc131433288"/>
      <w:bookmarkStart w:id="116" w:name="_Toc204259698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ПРИЛОЖЕНИЕ К</w:t>
      </w:r>
      <w:bookmarkEnd w:id="115"/>
      <w:bookmarkEnd w:id="116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ind w:left="720"/>
        <w:jc w:val="center"/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  <w:t xml:space="preserve">Государственные программы Забайкальского края</w:t>
      </w: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Calibri" w:cs="Times New Roman"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</w:t>
      </w:r>
      <w:bookmarkStart w:id="117" w:name="_Hlk131428901"/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Государственная программа Забайкальского края</w:t>
      </w:r>
      <w:bookmarkEnd w:id="117"/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«Управление государственными финансами и государственным долгом», </w:t>
      </w:r>
      <w:bookmarkStart w:id="118" w:name="_Hlk131428918"/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утвержденная</w:t>
      </w:r>
      <w:bookmarkEnd w:id="118"/>
      <w:r>
        <w:rPr>
          <w:rFonts w:ascii="Times New Roman" w:hAnsi="Times New Roman" w:eastAsia="Calibri" w:cs="Times New Roman"/>
          <w:sz w:val="28"/>
          <w:szCs w:val="28"/>
          <w:lang w:eastAsia="en-US"/>
        </w:rPr>
        <w:t xml:space="preserve"> постановлением Правительства Забайкальского края от 27 мая 2014 года 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  <w:br/>
        <w:t xml:space="preserve">№ 274.</w:t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sz w:val="28"/>
          <w:szCs w:val="28"/>
          <w:lang w:eastAsia="en-US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«Защита населения и территорий от чрезвычайных ситуаций, обеспечение пожарной безопасности и безопасности людей на водных объектах 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абайкальского края», утвержденная постановлением Правительства Забайкальского края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от 22 июля 2014 года № 407.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«Экономическое развитие», утвержденная постановлением Правительства Забайкальского края </w:t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  <w:t xml:space="preserve">от 23 апре</w:t>
      </w:r>
      <w:r>
        <w:rPr>
          <w:rFonts w:ascii="Times New Roman" w:hAnsi="Times New Roman" w:eastAsia="Times New Roman" w:cs="Times New Roman"/>
          <w:sz w:val="27"/>
          <w:szCs w:val="27"/>
          <w:lang w:eastAsia="ru-RU"/>
        </w:rPr>
        <w:t xml:space="preserve">ля 2014 года № 220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«Содействие занятости населения», утвержденная постановлением Правительства Забайкальского края от 1 августа 2014 года № 457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 Государственная программа Забайкальского края «Развитие сельског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хозяйства и регулирование рынков сельскохозяйственной продукции, сырья и продовольствия», утвержденная постановлением Правительства Забайкальского края от 25 апреля 2014 года № 237.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информационного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общества и формирование электронного правительства в Забайкальском крае», утвержденная постановлением Правительства Забайкальского края 25 декабря 2013 года № 583.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«Воспроизводство и использование природных рес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урсов», утвержденная постановлением Правительства Забайкальского края от 28 октября 2013 года № 465.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«Охрана окружающей среды», утвержденная постановлением Правительства Забайкальского края от 10 апреля 2014 го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да № 188.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лесного хозяйства», утвержденная постановлением Правительства Забайкальского края от 18 июля 2014 года № 404.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«Управление государственной собств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енностью Забайкальского края», утвержденная постановлением Правительства Забайкальского края от 30 июня 2014 года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№ 372.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международной, внешнеэкономической деятельности и туризма в Забайкальском крае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», утвержденная постановлением Правительства Забайкальского края от 29 мая 2014 года № 314.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shd w:val="clear" w:color="auto" w:fill="ffffff"/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территорий и жилищная политика Забайкальского края», утвержденная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постановлением Правительства Забайкальског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 края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от 31 декабря 2015 года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br/>
        <w:t xml:space="preserve">№ 656.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numId w:val="13"/>
          <w:ilvl w:val="0"/>
        </w:numPr>
        <w:shd w:val="clear" w:color="auto" w:fill="ffffff"/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транспортной системы Забайкальского края», утвержденная постановлением Правительства Забайкальского края 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  <w:t xml:space="preserve">от 29 мая 2014 года № 315.</w:t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bCs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образования Забайкальского края на 2014– 2025 годы», утвержденная постановлением Правительства Забайкальского края от 24 апреля 2014 года № 225.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культуры в Забайкальском крае», утвержденная постановлением Правительства Забайкальского края от 24 апреля 2014 года № 236.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здравоохранения Забайкальского края», утвержденная постановлением Правитель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ства Забайкальского края от 28 июля 2014 года № 448.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«Социальная поддержка граждан», утвержденная постановлением Правительства Забайкальского края от 10 июня 2014 года № 328.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ского края «Развитие физической культуры и спорта в Забайкальском крае», утвержденная постановлением Правительства Забайкальского края от 30 июня 2014 года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№ 381.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«Совершенствование государственного управления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Забайкальского края», утвержденная постановлением Правительства Забайкальского края от 30 июня 2014 года № 383.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«Комплексное развитие сельских территорий», утвержденная постановлением Правительства Забайкальск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ого края от 17 декабря 2019 года № 490.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«Социально-экономическое развитие Агинского Бурятского округа Забайкальского края», утвержденная постановлением Правительства Забайкальского края от 11 июня 2014 года № 335.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ского края «Комплексные меры по улучшению наркологической ситуации в Забайкальском крае», утвержденная постановлением Правительства Забайкальского края от 15 августа 2014 года № 467.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«Доступная среда», утвержде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нная постановлением Правительства Забайкальского края от 19 мая 2016 года № 197.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«Обеспечение градостроительной деятельности на территории Забайкальского края», постановлением Правительства Забайкальского края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от 12 февраля 2016 года 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/>
        <w:t xml:space="preserve">№ 65.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жилищно-коммунального хозяйства Забайкальского края», утвержденная постановлением Правительства Забайкальского края от 30 декабря 2015 года № 650.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мма Забайкальского края по переселению граждан из жилищного фонда, признанного аварийным или непригодным для проживания, и (или) с высоким уровнем износа, утвержденная постановлением Правительства Забайкальского края </w:t>
      </w:r>
      <w:r>
        <w:rPr>
          <w:rFonts w:ascii="Times New Roman" w:hAnsi="Times New Roman" w:eastAsia="Times New Roman" w:cs="Times New Roman"/>
          <w:sz w:val="28"/>
          <w:szCs w:val="28"/>
          <w:shd w:val="clear" w:color="auto" w:fill="ffffff"/>
          <w:lang w:eastAsia="ru-RU"/>
        </w:rPr>
        <w:t xml:space="preserve">от 4 февраля 2016 года № 58.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енная программа Забайкальского края «Формирование современной городской среды», утвержденная постановлением Правительства Забайкальского края от 31 декабря 2017 года № 372.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«Сохранение, использование, популяриз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ация и государственная охрана объектов культурного наследия», утвержденная постановлением Правительства Забайкальского края от 29 августа 2018 года № 360.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дорожного хозяйства Забайкальского края», утв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ержденная постановлением Правительства Забайкальского края от 9 декабря 2021 года № 482.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«Развитие внутреннего и въездного туризма и индустрии гостеприимства в Забайкальском крае», утвержденная постановлением П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равительства Забайкальского края 29 декабря 2022 года № 677.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«Реализация государственной национальной политики, развитие институтов региональной политики и гражданского общества в Забайкальском крае», утвержден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ная </w:t>
      </w:r>
      <w:bookmarkStart w:id="119" w:name="_Hlk131432290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постановлением Правительства Забайкальского края</w:t>
      </w:r>
      <w:bookmarkEnd w:id="119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от 27 декабря 2022 года № 656.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numPr>
          <w:numId w:val="13"/>
          <w:ilvl w:val="0"/>
        </w:numPr>
        <w:tabs>
          <w:tab w:val="left" w:pos="1134" w:leader="none"/>
        </w:tabs>
        <w:spacing w:after="0" w:line="240" w:lineRule="auto"/>
        <w:ind w:left="0" w:firstLine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Государственная программа Забайкальского края «Энергосбережение и развитие энергетики в Забайкальском крае», утвержденная постановлением Правительства Забайкальского края о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т 10 августа 2022 года № 335.</w:t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tabs>
          <w:tab w:val="left" w:pos="1134" w:leader="none"/>
        </w:tabs>
        <w:spacing w:after="0" w:line="240" w:lineRule="auto"/>
        <w:ind w:left="709"/>
        <w:jc w:val="both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_______________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widowControl w:val="off"/>
        <w:spacing w:after="0" w:line="240" w:lineRule="auto"/>
        <w:jc w:val="center"/>
        <w:outlineLvl w:val="0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bookmarkStart w:id="120" w:name="_Toc204259699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ПРИЛОЖЕНИЕ Л</w:t>
      </w:r>
      <w:bookmarkEnd w:id="120"/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  <w:r>
        <w:rPr>
          <w:rFonts w:ascii="Times New Roman" w:hAnsi="Times New Roman" w:eastAsia="Times New Roman" w:cs="Times New Roman"/>
          <w:sz w:val="28"/>
          <w:szCs w:val="28"/>
          <w:lang w:eastAsia="ru-RU"/>
        </w:rPr>
      </w:r>
    </w:p>
    <w:p>
      <w:pPr>
        <w:spacing w:after="0" w:line="240" w:lineRule="auto"/>
        <w:ind w:left="720"/>
        <w:jc w:val="center"/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pP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  <w:t xml:space="preserve">Перечень отраслевых стратегий Забайкальского края</w:t>
      </w: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r>
      <w:r>
        <w:rPr>
          <w:rFonts w:ascii="Times New Roman" w:hAnsi="Times New Roman" w:eastAsia="Calibri" w:cs="Times New Roman"/>
          <w:b/>
          <w:bCs/>
          <w:sz w:val="28"/>
          <w:szCs w:val="28"/>
          <w:lang w:eastAsia="en-US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pStyle w:val="1038"/>
        <w:numPr>
          <w:numId w:val="14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Стратегия молодежной политики Забайкальского края до 2025 года, утвержденная постановлением Правительства Забайкальского края от 23 октября 2018 года № 446.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1038"/>
        <w:numPr>
          <w:numId w:val="14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21" w:name="_Hlk204261160"/>
      <w:r>
        <w:rPr>
          <w:rFonts w:ascii="Times New Roman" w:hAnsi="Times New Roman"/>
          <w:sz w:val="28"/>
          <w:szCs w:val="28"/>
          <w:lang w:eastAsia="ru-RU"/>
        </w:rPr>
        <w:t xml:space="preserve">Стратегия развития санитарной авиации</w:t>
      </w:r>
      <w:bookmarkEnd w:id="121"/>
      <w:r>
        <w:rPr>
          <w:rFonts w:ascii="Times New Roman" w:hAnsi="Times New Roman"/>
          <w:sz w:val="28"/>
          <w:szCs w:val="28"/>
          <w:lang w:eastAsia="ru-RU"/>
        </w:rPr>
        <w:t xml:space="preserve"> Забайкальского края до 2024 года, утвержденная распоряжением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Правительства Забайкальского края от 3 июля 2019 года № 226-р.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1038"/>
        <w:numPr>
          <w:numId w:val="14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Стратегия формирования здорового образа жизни населения, профилактики и контроля неинфекционных заболеваний в Забайкальском крае на период до 2025 года, утвержденная распоряжением Правительства</w:t>
      </w:r>
      <w:r>
        <w:rPr>
          <w:rFonts w:ascii="Times New Roman" w:hAnsi="Times New Roman"/>
          <w:sz w:val="28"/>
          <w:szCs w:val="28"/>
          <w:lang w:eastAsia="ru-RU"/>
        </w:rPr>
        <w:t xml:space="preserve"> Забайкальского края от 20 сентября 2021 № 294-р.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1038"/>
        <w:numPr>
          <w:numId w:val="14"/>
          <w:ilvl w:val="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Стратегия в области цифровой трансформации отраслей экономики, социальной сферы и государственного управления Забайкальского края, утвержденная распоряжением Правительства Забайкальского края от 20 мая 2021</w:t>
      </w:r>
      <w:r>
        <w:rPr>
          <w:rFonts w:ascii="Times New Roman" w:hAnsi="Times New Roman"/>
          <w:sz w:val="28"/>
          <w:szCs w:val="28"/>
          <w:lang w:eastAsia="ru-RU"/>
        </w:rPr>
        <w:t xml:space="preserve"> года № 230-р.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103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pStyle w:val="1038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_______________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 w:clear="all"/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360" w:lineRule="auto"/>
        <w:ind w:left="5387"/>
        <w:contextualSpacing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ПРИЛОЖЕНИЕ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left="5387"/>
        <w:contextualSpacing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к постановлению Правительства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left="5387"/>
        <w:contextualSpacing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Забайкальского края 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left="5387"/>
        <w:contextualSpacing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от 2 июня 2023 года № 272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left="5387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</w:p>
    <w:p>
      <w:pPr>
        <w:spacing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  <w:t xml:space="preserve">ПЕРЕЧЕНЬ</w:t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</w:p>
    <w:p>
      <w:pPr>
        <w:spacing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  <w:t xml:space="preserve">утративших силу постановлений и отдельных положений </w:t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  <w:br/>
        <w:t xml:space="preserve">постановлений Правительства Забайкальского края</w:t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</w:p>
    <w:p>
      <w:pPr>
        <w:spacing w:after="0" w:line="240" w:lineRule="auto"/>
        <w:contextualSpacing/>
        <w:jc w:val="center"/>
        <w:rPr>
          <w:rFonts w:ascii="Times New Roman" w:hAnsi="Times New Roman" w:eastAsia="Calibri" w:cs="Times New Roman"/>
          <w:b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b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Постановление Прав</w:t>
      </w:r>
      <w:r>
        <w:rPr>
          <w:rFonts w:ascii="Times New Roman" w:hAnsi="Times New Roman"/>
          <w:sz w:val="28"/>
          <w:szCs w:val="28"/>
          <w:lang w:eastAsia="ru-RU"/>
        </w:rPr>
        <w:t xml:space="preserve">ительства Забайкальского края от 26 декабря 2013 года № 586 «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Об утверждении Стратегии социально-экономического развития Забайкальского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2. Постановление Правительс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тва Забайкальского края от 22 июля 2014 года № 420 «О внесении изменений в Стратегию социально-экономического развития Забайкальского края на период до 2030 года, утвержденную постановлением Правительства Забайкальского края от 26 декабря 2013 года № 586».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3. Постановление Правительства Забайкальского края от 5 февраля 2015 года № 44 «О внесении изменений в подраздел 11.3 Стратегии социально-экономического развития Забайкальского края на период до 2030 года, утвержденной постановлением Правительства Забайка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льского края от 26 декабря 2013 года № 586».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4. Постановление Правительства Забайкальского края от 27 октября 2015 года № 534 «О внесении изменений в Стратегию социально-экономического развития Забайкальского края на период до 2030 года, утвержденную поста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новлением Правительства Забайкальского края от 26 декабря 2013 года № 586».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5. Постановление Правительства Забайкальского края от 5 апреля 2016 года № 122 «О внесении изменений в постановление Правительства Забайкальского края от 26 декабря 2013 года № 586».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6. Постановление Правительства Забайкальского края от 28 декабря 2016 год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а № 513 «О внесении изменений в приложение № 3 к Стратегии социально-экономического развития Забайкальского края на период до 2030 года, утвержденной постановлением Правительства Забайкальского края от 26 декабря 2013 года № 586».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7. Постановление Правител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ьства Забайкальского края от 15 мая 2017 года № 188 «О внесении изменений в Стратегию социально-экономического развития Забайкальского края на период до 2030 года, утвержденную постановлением Правительства Забайкальского края от 26 декабря 2013 года № 586»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8. Постановление Правительства Забайкальского края от 28 января 2019 года № 14 «О внесении изменений в Стратегию социально-экономического развития Забайкальского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9. Постановление Правительства Забайкальского края от 24 декаб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ря 2019 года № 508 «О внесении изменений в Стратегию социально-экономического развития Забайкальского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10. Постановление Правительства Забайкальского края от 18 февраля 2020 года № 33 «О внесении изменения в подраздел 11.3 Стра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тегии социально-экономического развития Забайкальского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11. Постановление Правительства Забайкальского края от 19 июня 2020 года № 212 «О внесении изменений в приложение № 3 к стратегии социально-экономического развития Забайка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12. Пункт 2 постановления Правительства Забайкальского края от 13 ноября 2020 года № 485 «О внесении изменений в некоторые постановления Правительства Забайкальского края».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13. Постановление Правительства Забайкальског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о края от 31 марта 2021 года № 96 «О внесении изменений в Стратегию социально-экономического развития Забайкальского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14. Постановление Правительства Забайкальского края от 13 августа 2021 года № 312 «О внесении изменений в Стр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  <w:t xml:space="preserve">атегию социально-экономического развития Забайкальского края на период до 2030 года».</w:t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p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_______________</w:t>
      </w:r>
      <w:r>
        <w:rPr>
          <w:rFonts w:ascii="Times New Roman" w:hAnsi="Times New Roman"/>
          <w:sz w:val="28"/>
          <w:szCs w:val="28"/>
          <w:lang w:eastAsia="ru-RU"/>
        </w:rPr>
      </w:r>
      <w:r>
        <w:rPr>
          <w:rFonts w:ascii="Times New Roman" w:hAnsi="Times New Roman"/>
          <w:sz w:val="28"/>
          <w:szCs w:val="28"/>
          <w:lang w:eastAsia="ru-RU"/>
        </w:rPr>
      </w:r>
    </w:p>
    <w:p>
      <w:pPr>
        <w:spacing w:after="0" w:line="240" w:lineRule="auto"/>
        <w:ind w:firstLine="709"/>
        <w:jc w:val="center"/>
        <w:rPr>
          <w:rFonts w:ascii="Times New Roman" w:hAnsi="Times New Roman" w:eastAsia="Calibri" w:cs="Times New Roman"/>
          <w:sz w:val="28"/>
          <w:szCs w:val="28"/>
          <w:lang w:eastAsia="ru-RU"/>
        </w:rPr>
      </w:pP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  <w:r>
        <w:rPr>
          <w:rFonts w:ascii="Times New Roman" w:hAnsi="Times New Roman" w:eastAsia="Calibri" w:cs="Times New Roman"/>
          <w:sz w:val="28"/>
          <w:szCs w:val="28"/>
          <w:lang w:eastAsia="ru-RU"/>
        </w:rPr>
      </w:r>
    </w:p>
    <w:sectPr>
      <w:footnotePr/>
      <w:endnotePr/>
      <w:type w:val="nextPage"/>
      <w:pgSz w:w="11906" w:h="16838" w:orient="portrait"/>
      <w:pgMar w:top="1134" w:right="567" w:bottom="1134" w:left="1985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roid Sans Devanagari">
    <w:panose1 w:val="05050102010205020202"/>
  </w:font>
  <w:font w:name="Liberation Serif">
    <w:panose1 w:val="02020603050405020304"/>
  </w:font>
  <w:font w:name="Droid Sans Fallback">
    <w:panose1 w:val="05050102010205020202"/>
  </w:font>
  <w:font w:name="Calibri Light">
    <w:panose1 w:val="020F0302020204030204"/>
  </w:font>
  <w:font w:name="Wingdings">
    <w:panose1 w:val="05000000000000000000"/>
  </w:font>
  <w:font w:name="Consolas">
    <w:panose1 w:val="020B0609020204030204"/>
  </w:font>
  <w:font w:name="Arial Unicode MS">
    <w:panose1 w:val="020B0604020202020204"/>
  </w:font>
  <w:font w:name="Tahoma">
    <w:panose1 w:val="020B0604030504040204"/>
  </w:font>
  <w:font w:name="Arial">
    <w:panose1 w:val="020B0604020202020204"/>
  </w:font>
  <w:font w:name="Cambria">
    <w:panose1 w:val="02040503050406030204"/>
  </w:font>
  <w:font w:name="font405">
    <w:panose1 w:val="05050102010205020202"/>
  </w:font>
  <w:font w:name="Symbol">
    <w:panose1 w:val="05050102010706020507"/>
  </w:font>
  <w:font w:name="SimSun">
    <w:panose1 w:val="02010600030101010101"/>
  </w:font>
  <w:font w:name="Courier New">
    <w:panose1 w:val="02070309020205020404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  <w:jc w:val="center"/>
      <w:rPr>
        <w:rFonts w:ascii="Times New Roman" w:hAnsi="Times New Roman"/>
      </w:rPr>
    </w:pPr>
    <w:r>
      <w:rPr>
        <w:rFonts w:ascii="Times New Roman" w:hAnsi="Times New Roman"/>
      </w:rPr>
    </w:r>
    <w:r>
      <w:rPr>
        <w:rFonts w:ascii="Times New Roman" w:hAnsi="Times New Roman"/>
      </w:rPr>
    </w:r>
    <w:r>
      <w:rPr>
        <w:rFonts w:ascii="Times New Roman" w:hAnsi="Times New Roman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  <w:jc w:val="center"/>
      <w:rPr>
        <w:rFonts w:ascii="Times New Roman" w:hAnsi="Times New Roman"/>
      </w:rPr>
    </w:pPr>
    <w:r>
      <w:rPr>
        <w:rFonts w:ascii="Times New Roman" w:hAnsi="Times New Roman"/>
      </w:rPr>
    </w:r>
    <w:r>
      <w:rPr>
        <w:rFonts w:ascii="Times New Roman" w:hAnsi="Times New Roman"/>
      </w:rPr>
    </w:r>
    <w:r>
      <w:rPr>
        <w:rFonts w:ascii="Times New Roman" w:hAnsi="Times New Roman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3"/>
      <w:jc w:val="center"/>
      <w:rPr>
        <w:rFonts w:ascii="Times New Roman" w:hAnsi="Times New Roman"/>
      </w:rPr>
    </w:pPr>
    <w:r>
      <w:rPr>
        <w:rFonts w:ascii="Times New Roman" w:hAnsi="Times New Roman"/>
      </w:rPr>
    </w:r>
    <w:r>
      <w:rPr>
        <w:rFonts w:ascii="Times New Roman" w:hAnsi="Times New Roman"/>
      </w:rPr>
    </w:r>
    <w:r>
      <w:rPr>
        <w:rFonts w:ascii="Times New Roman" w:hAnsi="Times New Roman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  <w:footnote w:id="2">
    <w:p>
      <w:pPr>
        <w:pStyle w:val="1034"/>
        <w:rPr>
          <w:rFonts w:ascii="Times New Roman" w:hAnsi="Times New Roman"/>
          <w:highlight w:val="yellow"/>
        </w:rPr>
      </w:pPr>
      <w:r>
        <w:rPr>
          <w:rStyle w:val="103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Утверждена постановлением Правительства Забайкальского края от 26 декабря 2013 года № 586</w:t>
      </w:r>
      <w:r>
        <w:rPr>
          <w:rFonts w:ascii="Times New Roman" w:hAnsi="Times New Roman"/>
          <w:highlight w:val="yellow"/>
        </w:rPr>
      </w:r>
      <w:r>
        <w:rPr>
          <w:rFonts w:ascii="Times New Roman" w:hAnsi="Times New Roman"/>
          <w:highlight w:val="yellow"/>
        </w:rPr>
      </w:r>
    </w:p>
  </w:footnote>
  <w:footnote w:id="3">
    <w:p>
      <w:pPr>
        <w:pStyle w:val="1034"/>
        <w:rPr>
          <w:rFonts w:ascii="Times New Roman" w:hAnsi="Times New Roman"/>
        </w:rPr>
      </w:pPr>
      <w:r>
        <w:rPr>
          <w:rStyle w:val="103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За 2023 год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</w:footnote>
  <w:footnote w:id="4">
    <w:p>
      <w:pPr>
        <w:pStyle w:val="1034"/>
        <w:rPr>
          <w:rFonts w:ascii="Times New Roman" w:hAnsi="Times New Roman"/>
        </w:rPr>
      </w:pPr>
      <w:r>
        <w:rPr>
          <w:rStyle w:val="103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Здесь и далее промышленное производств</w:t>
      </w:r>
      <w:r>
        <w:rPr>
          <w:rFonts w:ascii="Times New Roman" w:hAnsi="Times New Roman"/>
        </w:rPr>
        <w:t xml:space="preserve">о приведено по «чистым» видам экономической деятельности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</w:footnote>
  <w:footnote w:id="5">
    <w:p>
      <w:pPr>
        <w:pStyle w:val="1034"/>
        <w:rPr>
          <w:rFonts w:ascii="Times New Roman" w:hAnsi="Times New Roman"/>
        </w:rPr>
      </w:pPr>
      <w:r>
        <w:rPr>
          <w:rStyle w:val="1036"/>
          <w:rFonts w:ascii="Times New Roman" w:hAnsi="Times New Roman"/>
          <w:sz w:val="18"/>
          <w:szCs w:val="18"/>
        </w:rPr>
        <w:footnoteRef/>
      </w:r>
      <w:r>
        <w:rPr>
          <w:rFonts w:ascii="Times New Roman" w:hAnsi="Times New Roman"/>
          <w:sz w:val="18"/>
          <w:szCs w:val="18"/>
        </w:rPr>
        <w:t xml:space="preserve">Оценка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</w:footnote>
  <w:footnote w:id="6">
    <w:p>
      <w:pPr>
        <w:pStyle w:val="1148"/>
        <w:ind w:left="113" w:hanging="106"/>
        <w:rPr>
          <w:rStyle w:val="1147"/>
          <w:rFonts w:ascii="Times New Roman" w:hAnsi="Times New Roman" w:cs="Times New Roman"/>
        </w:rPr>
      </w:pPr>
      <w:r>
        <w:footnoteRef/>
      </w:r>
      <w:r>
        <w:rPr>
          <w:rStyle w:val="1147"/>
          <w:rFonts w:ascii="Times New Roman" w:hAnsi="Times New Roman" w:cs="Times New Roman"/>
        </w:rPr>
        <w:t xml:space="preserve"> Индекс физического объема ВРП за 2020-2023 годы</w:t>
      </w:r>
      <w:r>
        <w:rPr>
          <w:rStyle w:val="1147"/>
          <w:rFonts w:ascii="Times New Roman" w:hAnsi="Times New Roman" w:cs="Times New Roman"/>
        </w:rPr>
      </w:r>
      <w:r>
        <w:rPr>
          <w:rStyle w:val="1147"/>
          <w:rFonts w:ascii="Times New Roman" w:hAnsi="Times New Roman" w:cs="Times New Roman"/>
        </w:rPr>
      </w:r>
    </w:p>
  </w:footnote>
  <w:footnote w:id="7">
    <w:p>
      <w:pPr>
        <w:pStyle w:val="1034"/>
        <w:rPr>
          <w:rFonts w:ascii="Times New Roman" w:hAnsi="Times New Roman"/>
        </w:rPr>
      </w:pPr>
      <w:r>
        <w:rPr>
          <w:rStyle w:val="103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Официальный сайт Дальневосточного таможенного управления https://dvtu.customs.gov.ru/statistic/zabajkal-skij-kraj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</w:footnote>
  <w:footnote w:id="8">
    <w:p>
      <w:pPr>
        <w:pStyle w:val="1034"/>
        <w:jc w:val="both"/>
        <w:rPr>
          <w:rFonts w:ascii="Times New Roman" w:hAnsi="Times New Roman"/>
        </w:rPr>
      </w:pPr>
      <w:r>
        <w:rPr>
          <w:rStyle w:val="1036"/>
        </w:rPr>
        <w:footnoteRef/>
      </w:r>
      <w:r>
        <w:t xml:space="preserve"> </w:t>
      </w:r>
      <w:r>
        <w:rPr>
          <w:rFonts w:ascii="Times New Roman" w:hAnsi="Times New Roman"/>
        </w:rPr>
        <w:t xml:space="preserve">Распоряжение Правительства Российской Федерации от 13 июня 2020 года № 1582-р «Об утверждении Программы развития угольной промышленности Рос</w:t>
      </w:r>
      <w:r>
        <w:rPr>
          <w:rFonts w:ascii="Times New Roman" w:hAnsi="Times New Roman"/>
        </w:rPr>
        <w:t xml:space="preserve">сии на период до 2035 года» (Справка о состоянии и перспективах использования минерально-сырьевой базы Забайкальского края на 15.06.2022, подготовлена ФГБУ «ВСЕГЕИ» в рамках выполнения государственного задания ФАН от 14.01.2022 № 049-00018-22-01)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</w:footnote>
  <w:footnote w:id="9">
    <w:p>
      <w:pPr>
        <w:pStyle w:val="1034"/>
        <w:jc w:val="both"/>
        <w:rPr>
          <w:rFonts w:ascii="Times New Roman" w:hAnsi="Times New Roman"/>
        </w:rPr>
      </w:pPr>
      <w:r>
        <w:rPr>
          <w:rStyle w:val="1036"/>
          <w:rFonts w:ascii="Times New Roman" w:hAnsi="Times New Roman"/>
        </w:rPr>
        <w:footnoteRef/>
      </w:r>
      <w:r>
        <w:rPr>
          <w:rFonts w:ascii="Times New Roman" w:hAnsi="Times New Roman"/>
        </w:rPr>
        <w:t xml:space="preserve"> Перечен</w:t>
      </w:r>
      <w:r>
        <w:rPr>
          <w:rFonts w:ascii="Times New Roman" w:hAnsi="Times New Roman"/>
        </w:rPr>
        <w:t xml:space="preserve">ь показателей утвержден Указом Президента Российской Федерации от 4 февраля 2021 года № 68 «Об оценке эффективности деятельности высших должностных лиц (руководителей высших исполнительных органов государственной власти) субъектов Российской Федерации и де</w:t>
      </w:r>
      <w:r>
        <w:rPr>
          <w:rFonts w:ascii="Times New Roman" w:hAnsi="Times New Roman"/>
        </w:rPr>
        <w:t xml:space="preserve">ятельности органов исполнительной власти субъектов Российской Федерации»</w:t>
      </w:r>
      <w:r>
        <w:rPr>
          <w:rFonts w:ascii="Times New Roman" w:hAnsi="Times New Roman"/>
        </w:rPr>
      </w:r>
      <w:r>
        <w:rPr>
          <w:rFonts w:ascii="Times New Roman" w:hAnsi="Times New Roman"/>
        </w:rPr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649733025"/>
      <w:docPartObj>
        <w:docPartGallery w:val="Page Numbers (Top of Page)"/>
        <w:docPartUnique w:val="true"/>
      </w:docPartObj>
      <w:rPr/>
    </w:sdtPr>
    <w:sdtContent>
      <w:p>
        <w:pPr>
          <w:pStyle w:val="105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2</w:t>
        </w:r>
        <w:r>
          <w:fldChar w:fldCharType="end"/>
        </w:r>
      </w:p>
    </w:sdtContent>
  </w:sdt>
  <w:p>
    <w:pPr>
      <w:pStyle w:val="105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91" w:hanging="46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" w:hanging="34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949" w:hanging="347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1899" w:hanging="347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849" w:hanging="347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799" w:hanging="347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749" w:hanging="347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698" w:hanging="347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648" w:hanging="347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598" w:hanging="3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ascii="Times New Roman" w:hAnsi="Times New Roman" w:cs="Times New Roman" w:eastAsiaTheme="minorHAnsi"/>
        <w:highlight w:val="none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tabs>
          <w:tab w:val="num" w:pos="0" w:leader="none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6480" w:hanging="360"/>
      </w:pPr>
      <w:rPr>
        <w:rFonts w:hint="default" w:ascii="Wingdings" w:hAnsi="Wingdings" w:cs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0" w:hanging="360"/>
      </w:pPr>
      <w:rPr>
        <w:rFonts w:hint="default"/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62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4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6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78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0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2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4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6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886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tabs>
          <w:tab w:val="num" w:pos="0" w:leader="none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6480" w:hanging="360"/>
      </w:pPr>
      <w:rPr>
        <w:rFonts w:hint="default" w:ascii="Wingdings" w:hAnsi="Wingdings" w:cs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tabs>
          <w:tab w:val="num" w:pos="0" w:leader="none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6480" w:hanging="360"/>
      </w:pPr>
      <w:rPr>
        <w:rFonts w:hint="default" w:ascii="Wingdings" w:hAnsi="Wingdings" w:cs="Wingdings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tabs>
          <w:tab w:val="num" w:pos="0" w:leader="none"/>
        </w:tabs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2160" w:hanging="360"/>
      </w:pPr>
      <w:rPr>
        <w:rFonts w:hint="default" w:ascii="Wingdings" w:hAnsi="Wingdings" w:cs="Wingdings"/>
      </w:rPr>
    </w:lvl>
    <w:lvl w:ilvl="3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2880" w:hanging="360"/>
      </w:pPr>
      <w:rPr>
        <w:rFonts w:hint="default" w:ascii="Symbol" w:hAnsi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4320" w:hanging="360"/>
      </w:pPr>
      <w:rPr>
        <w:rFonts w:hint="default" w:ascii="Wingdings" w:hAnsi="Wingdings" w:cs="Wingdings"/>
      </w:rPr>
    </w:lvl>
    <w:lvl w:ilvl="6">
      <w:start w:val="1"/>
      <w:numFmt w:val="bullet"/>
      <w:isLgl w:val="false"/>
      <w:suff w:val="tab"/>
      <w:lvlText w:val=""/>
      <w:lvlJc w:val="left"/>
      <w:pPr>
        <w:tabs>
          <w:tab w:val="num" w:pos="0" w:leader="none"/>
        </w:tabs>
        <w:ind w:left="5040" w:hanging="360"/>
      </w:pPr>
      <w:rPr>
        <w:rFonts w:hint="default" w:ascii="Symbol" w:hAnsi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tabs>
          <w:tab w:val="num" w:pos="0" w:leader="none"/>
        </w:tabs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0" w:leader="none"/>
        </w:tabs>
        <w:ind w:left="6480" w:hanging="360"/>
      </w:pPr>
      <w:rPr>
        <w:rFonts w:hint="default" w:ascii="Wingdings" w:hAnsi="Wingdings" w:cs="Wingdings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  <w:rPr>
        <w:i w:val="0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713" w:hanging="100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rFonts w:ascii="Times New Roman" w:hAnsi="Times New Roman" w:eastAsia="SimSun" w:cs="font405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12" w:hanging="30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67" w:hanging="30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15" w:hanging="30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563" w:hanging="30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411" w:hanging="30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259" w:hanging="30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6" w:hanging="30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54" w:hanging="30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802" w:hanging="304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tabs>
          <w:tab w:val="num" w:pos="720" w:leader="none"/>
        </w:tabs>
        <w:ind w:left="720" w:hanging="360"/>
      </w:pPr>
      <w:rPr>
        <w:sz w:val="28"/>
        <w:szCs w:val="28"/>
      </w:rPr>
    </w:lvl>
    <w:lvl w:ilvl="1">
      <w:start w:val="1"/>
      <w:numFmt w:val="bullet"/>
      <w:isLgl w:val="false"/>
      <w:suff w:val="tab"/>
      <w:lvlText w:val="o"/>
      <w:lvlJc w:val="left"/>
      <w:pPr>
        <w:tabs>
          <w:tab w:val="num" w:pos="1440" w:leader="none"/>
        </w:tabs>
        <w:ind w:left="1440" w:hanging="360"/>
      </w:pPr>
      <w:rPr>
        <w:rFonts w:hint="default" w:ascii="Courier New" w:hAnsi="Courier New"/>
        <w:sz w:val="20"/>
      </w:rPr>
    </w:lvl>
    <w:lvl w:ilvl="2">
      <w:start w:val="1"/>
      <w:numFmt w:val="bullet"/>
      <w:isLgl w:val="false"/>
      <w:suff w:val="tab"/>
      <w:lvlText w:val=""/>
      <w:lvlJc w:val="left"/>
      <w:pPr>
        <w:tabs>
          <w:tab w:val="num" w:pos="2160" w:leader="none"/>
        </w:tabs>
        <w:ind w:left="2160" w:hanging="360"/>
      </w:pPr>
      <w:rPr>
        <w:rFonts w:hint="default" w:ascii="Wingdings" w:hAnsi="Wingdings"/>
        <w:sz w:val="20"/>
      </w:rPr>
    </w:lvl>
    <w:lvl w:ilvl="3">
      <w:start w:val="1"/>
      <w:numFmt w:val="bullet"/>
      <w:isLgl w:val="false"/>
      <w:suff w:val="tab"/>
      <w:lvlText w:val=""/>
      <w:lvlJc w:val="left"/>
      <w:pPr>
        <w:tabs>
          <w:tab w:val="num" w:pos="2880" w:leader="none"/>
        </w:tabs>
        <w:ind w:left="2880" w:hanging="360"/>
      </w:pPr>
      <w:rPr>
        <w:rFonts w:hint="default" w:ascii="Wingdings" w:hAnsi="Wingdings"/>
        <w:sz w:val="20"/>
      </w:rPr>
    </w:lvl>
    <w:lvl w:ilvl="4">
      <w:start w:val="1"/>
      <w:numFmt w:val="bullet"/>
      <w:isLgl w:val="false"/>
      <w:suff w:val="tab"/>
      <w:lvlText w:val=""/>
      <w:lvlJc w:val="left"/>
      <w:pPr>
        <w:tabs>
          <w:tab w:val="num" w:pos="3600" w:leader="none"/>
        </w:tabs>
        <w:ind w:left="3600" w:hanging="360"/>
      </w:pPr>
      <w:rPr>
        <w:rFonts w:hint="default" w:ascii="Wingdings" w:hAnsi="Wingdings"/>
        <w:sz w:val="20"/>
      </w:rPr>
    </w:lvl>
    <w:lvl w:ilvl="5">
      <w:start w:val="1"/>
      <w:numFmt w:val="bullet"/>
      <w:isLgl w:val="false"/>
      <w:suff w:val="tab"/>
      <w:lvlText w:val=""/>
      <w:lvlJc w:val="left"/>
      <w:pPr>
        <w:tabs>
          <w:tab w:val="num" w:pos="4320" w:leader="none"/>
        </w:tabs>
        <w:ind w:left="4320" w:hanging="360"/>
      </w:pPr>
      <w:rPr>
        <w:rFonts w:hint="default" w:ascii="Wingdings" w:hAnsi="Wingdings"/>
        <w:sz w:val="20"/>
      </w:rPr>
    </w:lvl>
    <w:lvl w:ilvl="6">
      <w:start w:val="1"/>
      <w:numFmt w:val="bullet"/>
      <w:isLgl w:val="false"/>
      <w:suff w:val="tab"/>
      <w:lvlText w:val=""/>
      <w:lvlJc w:val="left"/>
      <w:pPr>
        <w:tabs>
          <w:tab w:val="num" w:pos="5040" w:leader="none"/>
        </w:tabs>
        <w:ind w:left="5040" w:hanging="360"/>
      </w:pPr>
      <w:rPr>
        <w:rFonts w:hint="default" w:ascii="Wingdings" w:hAnsi="Wingdings"/>
        <w:sz w:val="20"/>
      </w:rPr>
    </w:lvl>
    <w:lvl w:ilvl="7">
      <w:start w:val="1"/>
      <w:numFmt w:val="bullet"/>
      <w:isLgl w:val="false"/>
      <w:suff w:val="tab"/>
      <w:lvlText w:val=""/>
      <w:lvlJc w:val="left"/>
      <w:pPr>
        <w:tabs>
          <w:tab w:val="num" w:pos="5760" w:leader="none"/>
        </w:tabs>
        <w:ind w:left="5760" w:hanging="360"/>
      </w:pPr>
      <w:rPr>
        <w:rFonts w:hint="default" w:ascii="Wingdings" w:hAnsi="Wingdings"/>
        <w:sz w:val="20"/>
      </w:rPr>
    </w:lvl>
    <w:lvl w:ilvl="8">
      <w:start w:val="1"/>
      <w:numFmt w:val="bullet"/>
      <w:isLgl w:val="false"/>
      <w:suff w:val="tab"/>
      <w:lvlText w:val=""/>
      <w:lvlJc w:val="left"/>
      <w:pPr>
        <w:tabs>
          <w:tab w:val="num" w:pos="6480" w:leader="none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4">
    <w:multiLevelType w:val="hybridMultilevel"/>
    <w:lvl w:ilvl="0">
      <w:start w:val="1"/>
      <w:numFmt w:val="russianLower"/>
      <w:isLgl w:val="false"/>
      <w:suff w:val="tab"/>
      <w:lvlText w:val="%1)"/>
      <w:lvlJc w:val="left"/>
      <w:pPr>
        <w:ind w:left="1225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94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66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38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0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2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54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26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985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429" w:hanging="360"/>
      </w:pPr>
      <w:rPr>
        <w:rFonts w:hint="default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589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49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5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7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49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1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3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5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7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09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17" w:hanging="180"/>
      </w:pPr>
    </w:lvl>
  </w:abstractNum>
  <w:abstractNum w:abstractNumId="27">
    <w:multiLevelType w:val="hybridMultilevel"/>
    <w:lvl w:ilvl="0">
      <w:start w:val="6"/>
      <w:numFmt w:val="decimal"/>
      <w:isLgl w:val="false"/>
      <w:suff w:val="tab"/>
      <w:lvlText w:val="%1."/>
      <w:lvlJc w:val="left"/>
      <w:pPr>
        <w:ind w:left="675" w:hanging="675"/>
      </w:pPr>
      <w:rPr>
        <w:rFonts w:hint="default"/>
      </w:rPr>
    </w:lvl>
    <w:lvl w:ilvl="1">
      <w:start w:val="3"/>
      <w:numFmt w:val="decimal"/>
      <w:isLgl w:val="false"/>
      <w:suff w:val="tab"/>
      <w:lvlText w:val="%1.%2."/>
      <w:lvlJc w:val="left"/>
      <w:pPr>
        <w:ind w:left="1074" w:hanging="720"/>
      </w:pPr>
      <w:rPr>
        <w:rFonts w:hint="default"/>
      </w:rPr>
    </w:lvl>
    <w:lvl w:ilvl="2">
      <w:start w:val="2"/>
      <w:numFmt w:val="decimal"/>
      <w:isLgl w:val="false"/>
      <w:suff w:val="tab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28"/>
  </w:num>
  <w:num w:numId="5">
    <w:abstractNumId w:val="21"/>
  </w:num>
  <w:num w:numId="6">
    <w:abstractNumId w:val="7"/>
  </w:num>
  <w:num w:numId="7">
    <w:abstractNumId w:val="12"/>
  </w:num>
  <w:num w:numId="8">
    <w:abstractNumId w:val="15"/>
  </w:num>
  <w:num w:numId="9">
    <w:abstractNumId w:val="16"/>
  </w:num>
  <w:num w:numId="10">
    <w:abstractNumId w:val="9"/>
  </w:num>
  <w:num w:numId="11">
    <w:abstractNumId w:val="18"/>
  </w:num>
  <w:num w:numId="12">
    <w:abstractNumId w:val="5"/>
  </w:num>
  <w:num w:numId="13">
    <w:abstractNumId w:val="13"/>
  </w:num>
  <w:num w:numId="14">
    <w:abstractNumId w:val="4"/>
  </w:num>
  <w:num w:numId="15">
    <w:abstractNumId w:val="2"/>
  </w:num>
  <w:num w:numId="16">
    <w:abstractNumId w:val="22"/>
  </w:num>
  <w:num w:numId="17">
    <w:abstractNumId w:val="3"/>
  </w:num>
  <w:num w:numId="18">
    <w:abstractNumId w:val="19"/>
  </w:num>
  <w:num w:numId="19">
    <w:abstractNumId w:val="24"/>
  </w:num>
  <w:num w:numId="20">
    <w:abstractNumId w:val="8"/>
  </w:num>
  <w:num w:numId="21">
    <w:abstractNumId w:val="1"/>
  </w:num>
  <w:num w:numId="22">
    <w:abstractNumId w:val="25"/>
  </w:num>
  <w:num w:numId="23">
    <w:abstractNumId w:val="17"/>
  </w:num>
  <w:num w:numId="24">
    <w:abstractNumId w:val="23"/>
  </w:num>
  <w:num w:numId="25">
    <w:abstractNumId w:val="10"/>
  </w:num>
  <w:num w:numId="26">
    <w:abstractNumId w:val="11"/>
  </w:num>
  <w:num w:numId="27">
    <w:abstractNumId w:val="26"/>
  </w:num>
  <w:num w:numId="28">
    <w:abstractNumId w:val="27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284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864" w:default="1">
    <w:name w:val="Normal"/>
    <w:qFormat/>
    <w:pPr>
      <w:spacing w:after="160" w:line="259" w:lineRule="auto"/>
    </w:pPr>
    <w:rPr>
      <w:rFonts w:eastAsia="SimSun" w:cs="font405"/>
      <w:sz w:val="22"/>
      <w:szCs w:val="22"/>
      <w:lang w:eastAsia="ar-SA"/>
    </w:rPr>
  </w:style>
  <w:style w:type="paragraph" w:styleId="865">
    <w:name w:val="Heading 1"/>
    <w:basedOn w:val="864"/>
    <w:next w:val="864"/>
    <w:link w:val="1027"/>
    <w:uiPriority w:val="9"/>
    <w:qFormat/>
    <w:pPr>
      <w:keepNext/>
      <w:spacing w:before="240" w:after="60"/>
      <w:outlineLvl w:val="0"/>
    </w:pPr>
    <w:rPr>
      <w:rFonts w:ascii="Cambria" w:hAnsi="Cambria" w:eastAsia="Times New Roman" w:cs="Times New Roman"/>
      <w:b/>
      <w:bCs/>
      <w:sz w:val="32"/>
      <w:szCs w:val="32"/>
    </w:rPr>
  </w:style>
  <w:style w:type="paragraph" w:styleId="866">
    <w:name w:val="Heading 2"/>
    <w:basedOn w:val="864"/>
    <w:next w:val="864"/>
    <w:link w:val="1049"/>
    <w:uiPriority w:val="9"/>
    <w:unhideWhenUsed/>
    <w:qFormat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867">
    <w:name w:val="Heading 3"/>
    <w:basedOn w:val="864"/>
    <w:next w:val="864"/>
    <w:link w:val="1085"/>
    <w:uiPriority w:val="9"/>
    <w:unhideWhenUsed/>
    <w:qFormat/>
    <w:pPr>
      <w:keepNext/>
      <w:keepLines/>
      <w:spacing w:before="40" w:after="0"/>
      <w:outlineLvl w:val="2"/>
    </w:pPr>
    <w:rPr>
      <w:rFonts w:ascii="Cambria" w:hAnsi="Cambria" w:eastAsia="Times New Roman" w:cs="Times New Roman"/>
      <w:color w:val="243f60"/>
      <w:sz w:val="24"/>
      <w:szCs w:val="24"/>
    </w:rPr>
  </w:style>
  <w:style w:type="paragraph" w:styleId="868">
    <w:name w:val="Heading 4"/>
    <w:basedOn w:val="864"/>
    <w:next w:val="864"/>
    <w:link w:val="1086"/>
    <w:uiPriority w:val="9"/>
    <w:semiHidden/>
    <w:unhideWhenUsed/>
    <w:qFormat/>
    <w:pPr>
      <w:spacing w:before="200" w:after="0" w:line="276" w:lineRule="auto"/>
      <w:outlineLvl w:val="3"/>
    </w:pPr>
    <w:rPr>
      <w:rFonts w:ascii="Arial" w:hAnsi="Arial" w:eastAsia="Times New Roman" w:cs="Times New Roman"/>
      <w:b/>
      <w:bCs/>
      <w:i/>
      <w:iCs/>
      <w:sz w:val="20"/>
      <w:szCs w:val="20"/>
      <w:lang w:val="en-US" w:bidi="en-US"/>
    </w:rPr>
  </w:style>
  <w:style w:type="paragraph" w:styleId="869">
    <w:name w:val="Heading 5"/>
    <w:basedOn w:val="864"/>
    <w:next w:val="864"/>
    <w:link w:val="1087"/>
    <w:uiPriority w:val="9"/>
    <w:semiHidden/>
    <w:unhideWhenUsed/>
    <w:qFormat/>
    <w:pPr>
      <w:spacing w:before="200" w:after="0" w:line="276" w:lineRule="auto"/>
      <w:outlineLvl w:val="4"/>
    </w:pPr>
    <w:rPr>
      <w:rFonts w:ascii="Arial" w:hAnsi="Arial" w:eastAsia="Times New Roman" w:cs="Times New Roman"/>
      <w:b/>
      <w:bCs/>
      <w:color w:val="7f7f7f"/>
      <w:sz w:val="20"/>
      <w:szCs w:val="20"/>
      <w:lang w:val="en-US" w:bidi="en-US"/>
    </w:rPr>
  </w:style>
  <w:style w:type="paragraph" w:styleId="870">
    <w:name w:val="Heading 6"/>
    <w:basedOn w:val="864"/>
    <w:next w:val="864"/>
    <w:link w:val="1088"/>
    <w:uiPriority w:val="9"/>
    <w:semiHidden/>
    <w:unhideWhenUsed/>
    <w:qFormat/>
    <w:pPr>
      <w:spacing w:after="0" w:line="271" w:lineRule="auto"/>
      <w:outlineLvl w:val="5"/>
    </w:pPr>
    <w:rPr>
      <w:rFonts w:ascii="Arial" w:hAnsi="Arial" w:eastAsia="Times New Roman" w:cs="Times New Roman"/>
      <w:b/>
      <w:bCs/>
      <w:i/>
      <w:iCs/>
      <w:color w:val="7f7f7f"/>
      <w:sz w:val="20"/>
      <w:szCs w:val="20"/>
      <w:lang w:val="en-US" w:bidi="en-US"/>
    </w:rPr>
  </w:style>
  <w:style w:type="paragraph" w:styleId="871">
    <w:name w:val="Heading 7"/>
    <w:basedOn w:val="864"/>
    <w:next w:val="864"/>
    <w:link w:val="1045"/>
    <w:uiPriority w:val="9"/>
    <w:semiHidden/>
    <w:unhideWhenUsed/>
    <w:qFormat/>
    <w:pPr>
      <w:keepNext/>
      <w:keepLines/>
      <w:spacing w:before="200" w:after="0"/>
      <w:outlineLvl w:val="6"/>
    </w:pPr>
    <w:rPr>
      <w:rFonts w:ascii="Cambria" w:hAnsi="Cambria" w:eastAsia="Times New Roman" w:cs="Times New Roman"/>
      <w:i/>
      <w:iCs/>
      <w:color w:val="404040"/>
      <w:sz w:val="20"/>
      <w:szCs w:val="20"/>
    </w:rPr>
  </w:style>
  <w:style w:type="paragraph" w:styleId="872">
    <w:name w:val="Heading 8"/>
    <w:basedOn w:val="864"/>
    <w:next w:val="864"/>
    <w:link w:val="1089"/>
    <w:uiPriority w:val="9"/>
    <w:semiHidden/>
    <w:unhideWhenUsed/>
    <w:qFormat/>
    <w:pPr>
      <w:spacing w:after="0" w:line="276" w:lineRule="auto"/>
      <w:outlineLvl w:val="7"/>
    </w:pPr>
    <w:rPr>
      <w:rFonts w:ascii="Arial" w:hAnsi="Arial" w:eastAsia="Times New Roman" w:cs="Times New Roman"/>
      <w:sz w:val="20"/>
      <w:szCs w:val="20"/>
      <w:lang w:val="en-US" w:bidi="en-US"/>
    </w:rPr>
  </w:style>
  <w:style w:type="paragraph" w:styleId="873">
    <w:name w:val="Heading 9"/>
    <w:basedOn w:val="864"/>
    <w:next w:val="864"/>
    <w:link w:val="1090"/>
    <w:uiPriority w:val="9"/>
    <w:semiHidden/>
    <w:unhideWhenUsed/>
    <w:qFormat/>
    <w:pPr>
      <w:spacing w:after="0" w:line="276" w:lineRule="auto"/>
      <w:outlineLvl w:val="8"/>
    </w:pPr>
    <w:rPr>
      <w:rFonts w:ascii="Arial" w:hAnsi="Arial" w:eastAsia="Times New Roman" w:cs="Times New Roman"/>
      <w:i/>
      <w:iCs/>
      <w:spacing w:val="5"/>
      <w:sz w:val="20"/>
      <w:szCs w:val="20"/>
      <w:lang w:val="en-US" w:bidi="en-US"/>
    </w:rPr>
  </w:style>
  <w:style w:type="character" w:styleId="874" w:default="1">
    <w:name w:val="Default Paragraph Font"/>
    <w:uiPriority w:val="1"/>
    <w:semiHidden/>
    <w:unhideWhenUsed/>
  </w:style>
  <w:style w:type="table" w:styleId="87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6" w:default="1">
    <w:name w:val="No List"/>
    <w:uiPriority w:val="99"/>
    <w:semiHidden/>
    <w:unhideWhenUsed/>
  </w:style>
  <w:style w:type="character" w:styleId="877" w:customStyle="1">
    <w:name w:val="Title Char"/>
    <w:basedOn w:val="874"/>
    <w:uiPriority w:val="10"/>
    <w:rPr>
      <w:sz w:val="48"/>
      <w:szCs w:val="48"/>
    </w:rPr>
  </w:style>
  <w:style w:type="character" w:styleId="878" w:customStyle="1">
    <w:name w:val="Caption Char"/>
    <w:basedOn w:val="874"/>
    <w:uiPriority w:val="35"/>
    <w:rPr>
      <w:b/>
      <w:bCs/>
      <w:color w:val="5b9bd5" w:themeColor="accent1"/>
      <w:sz w:val="18"/>
      <w:szCs w:val="18"/>
    </w:rPr>
  </w:style>
  <w:style w:type="character" w:styleId="879" w:customStyle="1">
    <w:name w:val="Endnote Text Char"/>
    <w:uiPriority w:val="99"/>
    <w:rPr>
      <w:sz w:val="20"/>
    </w:rPr>
  </w:style>
  <w:style w:type="character" w:styleId="880" w:customStyle="1">
    <w:name w:val="Heading 1 Char"/>
    <w:basedOn w:val="874"/>
    <w:link w:val="1157"/>
    <w:uiPriority w:val="9"/>
    <w:rPr>
      <w:rFonts w:ascii="Arial" w:hAnsi="Arial" w:eastAsia="Arial" w:cs="Arial"/>
      <w:sz w:val="40"/>
      <w:szCs w:val="40"/>
    </w:rPr>
  </w:style>
  <w:style w:type="character" w:styleId="881" w:customStyle="1">
    <w:name w:val="Heading 2 Char"/>
    <w:basedOn w:val="874"/>
    <w:uiPriority w:val="9"/>
    <w:rPr>
      <w:rFonts w:ascii="Arial" w:hAnsi="Arial" w:eastAsia="Arial" w:cs="Arial"/>
      <w:sz w:val="34"/>
    </w:rPr>
  </w:style>
  <w:style w:type="character" w:styleId="882" w:customStyle="1">
    <w:name w:val="Heading 3 Char"/>
    <w:basedOn w:val="874"/>
    <w:uiPriority w:val="9"/>
    <w:rPr>
      <w:rFonts w:ascii="Arial" w:hAnsi="Arial" w:eastAsia="Arial" w:cs="Arial"/>
      <w:sz w:val="30"/>
      <w:szCs w:val="30"/>
    </w:rPr>
  </w:style>
  <w:style w:type="character" w:styleId="883" w:customStyle="1">
    <w:name w:val="Heading 4 Char"/>
    <w:basedOn w:val="874"/>
    <w:uiPriority w:val="9"/>
    <w:rPr>
      <w:rFonts w:ascii="Arial" w:hAnsi="Arial" w:eastAsia="Arial" w:cs="Arial"/>
      <w:b/>
      <w:bCs/>
      <w:sz w:val="26"/>
      <w:szCs w:val="26"/>
    </w:rPr>
  </w:style>
  <w:style w:type="character" w:styleId="884" w:customStyle="1">
    <w:name w:val="Heading 5 Char"/>
    <w:basedOn w:val="874"/>
    <w:uiPriority w:val="9"/>
    <w:rPr>
      <w:rFonts w:ascii="Arial" w:hAnsi="Arial" w:eastAsia="Arial" w:cs="Arial"/>
      <w:b/>
      <w:bCs/>
      <w:sz w:val="24"/>
      <w:szCs w:val="24"/>
    </w:rPr>
  </w:style>
  <w:style w:type="character" w:styleId="885" w:customStyle="1">
    <w:name w:val="Heading 6 Char"/>
    <w:basedOn w:val="874"/>
    <w:uiPriority w:val="9"/>
    <w:rPr>
      <w:rFonts w:ascii="Arial" w:hAnsi="Arial" w:eastAsia="Arial" w:cs="Arial"/>
      <w:b/>
      <w:bCs/>
      <w:sz w:val="22"/>
      <w:szCs w:val="22"/>
    </w:rPr>
  </w:style>
  <w:style w:type="character" w:styleId="886" w:customStyle="1">
    <w:name w:val="Heading 7 Char"/>
    <w:basedOn w:val="87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887" w:customStyle="1">
    <w:name w:val="Heading 8 Char"/>
    <w:basedOn w:val="874"/>
    <w:uiPriority w:val="9"/>
    <w:rPr>
      <w:rFonts w:ascii="Arial" w:hAnsi="Arial" w:eastAsia="Arial" w:cs="Arial"/>
      <w:i/>
      <w:iCs/>
      <w:sz w:val="22"/>
      <w:szCs w:val="22"/>
    </w:rPr>
  </w:style>
  <w:style w:type="character" w:styleId="888" w:customStyle="1">
    <w:name w:val="Heading 9 Char"/>
    <w:basedOn w:val="874"/>
    <w:uiPriority w:val="9"/>
    <w:rPr>
      <w:rFonts w:ascii="Arial" w:hAnsi="Arial" w:eastAsia="Arial" w:cs="Arial"/>
      <w:i/>
      <w:iCs/>
      <w:sz w:val="21"/>
      <w:szCs w:val="21"/>
    </w:rPr>
  </w:style>
  <w:style w:type="paragraph" w:styleId="889">
    <w:name w:val="Title"/>
    <w:basedOn w:val="864"/>
    <w:next w:val="864"/>
    <w:link w:val="890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890" w:customStyle="1">
    <w:name w:val="Заголовок Знак1"/>
    <w:basedOn w:val="874"/>
    <w:link w:val="889"/>
    <w:uiPriority w:val="10"/>
    <w:rPr>
      <w:sz w:val="48"/>
      <w:szCs w:val="48"/>
    </w:rPr>
  </w:style>
  <w:style w:type="character" w:styleId="891" w:customStyle="1">
    <w:name w:val="Subtitle Char"/>
    <w:basedOn w:val="874"/>
    <w:uiPriority w:val="11"/>
    <w:rPr>
      <w:sz w:val="24"/>
      <w:szCs w:val="24"/>
    </w:rPr>
  </w:style>
  <w:style w:type="character" w:styleId="892" w:customStyle="1">
    <w:name w:val="Quote Char"/>
    <w:uiPriority w:val="29"/>
    <w:rPr>
      <w:i/>
    </w:rPr>
  </w:style>
  <w:style w:type="character" w:styleId="893" w:customStyle="1">
    <w:name w:val="Intense Quote Char"/>
    <w:uiPriority w:val="30"/>
    <w:rPr>
      <w:i/>
    </w:rPr>
  </w:style>
  <w:style w:type="character" w:styleId="894" w:customStyle="1">
    <w:name w:val="Header Char"/>
    <w:basedOn w:val="874"/>
    <w:uiPriority w:val="99"/>
  </w:style>
  <w:style w:type="character" w:styleId="895" w:customStyle="1">
    <w:name w:val="Footer Char"/>
    <w:basedOn w:val="874"/>
    <w:uiPriority w:val="99"/>
  </w:style>
  <w:style w:type="character" w:styleId="896" w:customStyle="1">
    <w:name w:val="Название объекта Знак"/>
    <w:basedOn w:val="874"/>
    <w:link w:val="1141"/>
    <w:uiPriority w:val="35"/>
    <w:rPr>
      <w:b/>
      <w:bCs/>
      <w:color w:val="5b9bd5" w:themeColor="accent1"/>
      <w:sz w:val="18"/>
      <w:szCs w:val="18"/>
    </w:rPr>
  </w:style>
  <w:style w:type="table" w:styleId="897" w:customStyle="1">
    <w:name w:val="Table Grid Light"/>
    <w:basedOn w:val="87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98">
    <w:name w:val="Plain Table 1"/>
    <w:basedOn w:val="87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99">
    <w:name w:val="Plain Table 2"/>
    <w:basedOn w:val="875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00">
    <w:name w:val="Plain Table 3"/>
    <w:basedOn w:val="87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01">
    <w:name w:val="Plain Table 4"/>
    <w:basedOn w:val="87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2">
    <w:name w:val="Plain Table 5"/>
    <w:basedOn w:val="87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 w:fill="auto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 w:fill="auto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03">
    <w:name w:val="Grid Table 1 Light"/>
    <w:basedOn w:val="875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4" w:customStyle="1">
    <w:name w:val="Grid Table 1 Light - Accent 1"/>
    <w:basedOn w:val="875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5" w:customStyle="1">
    <w:name w:val="Grid Table 1 Light - Accent 2"/>
    <w:basedOn w:val="875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6" w:customStyle="1">
    <w:name w:val="Grid Table 1 Light - Accent 3"/>
    <w:basedOn w:val="875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7" w:customStyle="1">
    <w:name w:val="Grid Table 1 Light - Accent 4"/>
    <w:basedOn w:val="875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8" w:customStyle="1">
    <w:name w:val="Grid Table 1 Light - Accent 5"/>
    <w:basedOn w:val="875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09" w:customStyle="1">
    <w:name w:val="Grid Table 1 Light - Accent 6"/>
    <w:basedOn w:val="875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10">
    <w:name w:val="Grid Table 2"/>
    <w:basedOn w:val="87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1" w:customStyle="1">
    <w:name w:val="Grid Table 2 - Accent 1"/>
    <w:basedOn w:val="875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2" w:customStyle="1">
    <w:name w:val="Grid Table 2 - Accent 2"/>
    <w:basedOn w:val="875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3" w:customStyle="1">
    <w:name w:val="Grid Table 2 - Accent 3"/>
    <w:basedOn w:val="875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4" w:customStyle="1">
    <w:name w:val="Grid Table 2 - Accent 4"/>
    <w:basedOn w:val="875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5" w:customStyle="1">
    <w:name w:val="Grid Table 2 - Accent 5"/>
    <w:basedOn w:val="875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6" w:customStyle="1">
    <w:name w:val="Grid Table 2 - Accent 6"/>
    <w:basedOn w:val="875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  <w:shd w:val="clear" w:color="ffffff" w:fill="auto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7">
    <w:name w:val="Grid Table 3"/>
    <w:basedOn w:val="87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8" w:customStyle="1">
    <w:name w:val="Grid Table 3 - Accent 1"/>
    <w:basedOn w:val="875"/>
    <w:uiPriority w:val="99"/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deaf6" w:themeColor="accent1" w:themeTint="34" w:fill="ddea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19" w:customStyle="1">
    <w:name w:val="Grid Table 3 - Accent 2"/>
    <w:basedOn w:val="875"/>
    <w:uiPriority w:val="99"/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20" w:customStyle="1">
    <w:name w:val="Grid Table 3 - Accent 3"/>
    <w:basedOn w:val="875"/>
    <w:uiPriority w:val="99"/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21" w:customStyle="1">
    <w:name w:val="Grid Table 3 - Accent 4"/>
    <w:basedOn w:val="875"/>
    <w:uiPriority w:val="99"/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22" w:customStyle="1">
    <w:name w:val="Grid Table 3 - Accent 5"/>
    <w:basedOn w:val="875"/>
    <w:uiPriority w:val="99"/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23" w:customStyle="1">
    <w:name w:val="Grid Table 3 - Accent 6"/>
    <w:basedOn w:val="875"/>
    <w:uiPriority w:val="99"/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</w:style>
  <w:style w:type="table" w:styleId="924">
    <w:name w:val="Grid Table 4"/>
    <w:basedOn w:val="875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25" w:customStyle="1">
    <w:name w:val="Grid Table 4 - Accent 1"/>
    <w:basedOn w:val="875"/>
    <w:uiPriority w:val="5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eebf6" w:themeColor="accent1" w:themeTint="32" w:fill="de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  <w:shd w:val="clear" w:color="68a2d8" w:themeColor="accent1" w:themeTint="EA" w:fill="68a2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68A2D8" w:themeColor="accent1" w:themeTint="EA" w:sz="4" w:space="0"/>
        </w:tcBorders>
      </w:tcPr>
    </w:tblStylePr>
  </w:style>
  <w:style w:type="table" w:styleId="926" w:customStyle="1">
    <w:name w:val="Grid Table 4 - Accent 2"/>
    <w:basedOn w:val="875"/>
    <w:uiPriority w:val="5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4B184" w:themeColor="accent2" w:themeTint="97" w:sz="4" w:space="0"/>
        </w:tcBorders>
      </w:tcPr>
    </w:tblStylePr>
  </w:style>
  <w:style w:type="table" w:styleId="927" w:customStyle="1">
    <w:name w:val="Grid Table 4 - Accent 3"/>
    <w:basedOn w:val="875"/>
    <w:uiPriority w:val="5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themeTint="FE" w:sz="4" w:space="0"/>
        </w:tcBorders>
      </w:tcPr>
    </w:tblStylePr>
  </w:style>
  <w:style w:type="table" w:styleId="928" w:customStyle="1">
    <w:name w:val="Grid Table 4 - Accent 4"/>
    <w:basedOn w:val="875"/>
    <w:uiPriority w:val="5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D865" w:themeColor="accent4" w:themeTint="9A" w:sz="4" w:space="0"/>
        </w:tcBorders>
      </w:tcPr>
    </w:tblStylePr>
  </w:style>
  <w:style w:type="table" w:styleId="929" w:customStyle="1">
    <w:name w:val="Grid Table 4 - Accent 5"/>
    <w:basedOn w:val="875"/>
    <w:uiPriority w:val="5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</w:tcBorders>
      </w:tcPr>
    </w:tblStylePr>
  </w:style>
  <w:style w:type="table" w:styleId="930" w:customStyle="1">
    <w:name w:val="Grid Table 4 - Accent 6"/>
    <w:basedOn w:val="875"/>
    <w:uiPriority w:val="5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</w:tcBorders>
      </w:tcPr>
    </w:tblStylePr>
  </w:style>
  <w:style w:type="table" w:styleId="931">
    <w:name w:val="Grid Table 5 Dark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932" w:customStyle="1">
    <w:name w:val="Grid Table 5 Dark- Accent 1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blStylePr w:type="band1Horz">
      <w:tcPr>
        <w:shd w:val="clear" w:color="b3d0eb" w:themeColor="accent1" w:themeTint="75" w:fill="b3d0eb" w:themeFill="accent1" w:themeFillTint="75"/>
      </w:tcPr>
    </w:tblStylePr>
    <w:tblStylePr w:type="band1Vert"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styleId="933" w:customStyle="1">
    <w:name w:val="Grid Table 5 Dark - Accent 2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blStylePr w:type="band1Horz">
      <w:tcPr>
        <w:shd w:val="clear" w:color="f6c3a0" w:themeColor="accent2" w:themeTint="75" w:fill="f6c3a0" w:themeFill="accent2" w:themeFillTint="75"/>
      </w:tcPr>
    </w:tblStylePr>
    <w:tblStylePr w:type="band1Vert"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</w:style>
  <w:style w:type="table" w:styleId="934" w:customStyle="1">
    <w:name w:val="Grid Table 5 Dark - Accent 3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blStylePr w:type="band1Horz">
      <w:tcPr>
        <w:shd w:val="clear" w:color="d5d5d5" w:themeColor="accent3" w:themeTint="75" w:fill="d5d5d5" w:themeFill="accent3" w:themeFillTint="75"/>
      </w:tcPr>
    </w:tblStylePr>
    <w:tblStylePr w:type="band1Vert"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</w:style>
  <w:style w:type="table" w:styleId="935" w:customStyle="1">
    <w:name w:val="Grid Table 5 Dark- Accent 4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blStylePr w:type="band1Horz">
      <w:tcPr>
        <w:shd w:val="clear" w:color="ffe28a" w:themeColor="accent4" w:themeTint="75" w:fill="ffe28a" w:themeFill="accent4" w:themeFillTint="75"/>
      </w:tcPr>
    </w:tblStylePr>
    <w:tblStylePr w:type="band1Vert"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</w:style>
  <w:style w:type="table" w:styleId="936" w:customStyle="1">
    <w:name w:val="Grid Table 5 Dark - Accent 5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blStylePr w:type="band1Horz">
      <w:tcPr>
        <w:shd w:val="clear" w:color="a9bee4" w:themeColor="accent5" w:themeTint="75" w:fill="a9bee4" w:themeFill="accent5" w:themeFillTint="75"/>
      </w:tcPr>
    </w:tblStylePr>
    <w:tblStylePr w:type="band1Vert"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</w:style>
  <w:style w:type="table" w:styleId="937" w:customStyle="1">
    <w:name w:val="Grid Table 5 Dark - Accent 6"/>
    <w:basedOn w:val="87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blStylePr w:type="band1Horz">
      <w:tcPr>
        <w:shd w:val="clear" w:color="bcdba8" w:themeColor="accent6" w:themeTint="75" w:fill="bcdba8" w:themeFill="accent6" w:themeFillTint="75"/>
      </w:tcPr>
    </w:tblStylePr>
    <w:tblStylePr w:type="band1Vert"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</w:style>
  <w:style w:type="table" w:styleId="938">
    <w:name w:val="Grid Table 6 Colorful"/>
    <w:basedOn w:val="875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939" w:customStyle="1">
    <w:name w:val="Grid Table 6 Colorful - Accent 1"/>
    <w:basedOn w:val="875"/>
    <w:uiPriority w:val="99"/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b/>
        <w:color w:val="acccea" w:themeColor="accent1" w:themeTint="80" w:themeShade="95"/>
      </w:rPr>
    </w:tblStylePr>
    <w:tblStylePr w:type="firstRow">
      <w:rPr>
        <w:b/>
        <w:color w:val="acccea" w:themeColor="accent1" w:themeTint="80" w:themeShade="95"/>
      </w:r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</w:tblStylePr>
    <w:tblStylePr w:type="lastRow">
      <w:rPr>
        <w:b/>
        <w:color w:val="acccea" w:themeColor="accent1" w:themeTint="80" w:themeShade="95"/>
      </w:rPr>
    </w:tblStylePr>
  </w:style>
  <w:style w:type="table" w:styleId="940" w:customStyle="1">
    <w:name w:val="Grid Table 6 Colorful - Accent 2"/>
    <w:basedOn w:val="875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</w:tblStylePr>
  </w:style>
  <w:style w:type="table" w:styleId="941" w:customStyle="1">
    <w:name w:val="Grid Table 6 Colorful - Accent 3"/>
    <w:basedOn w:val="875"/>
    <w:uiPriority w:val="99"/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b/>
        <w:color w:val="a5a5a5" w:themeColor="accent3" w:themeTint="FE" w:themeShade="95"/>
      </w:rPr>
    </w:tblStylePr>
    <w:tblStylePr w:type="firstRow">
      <w:rPr>
        <w:b/>
        <w:color w:val="a5a5a5" w:themeColor="accent3" w:themeTint="FE" w:themeShade="95"/>
      </w:r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</w:tblStylePr>
    <w:tblStylePr w:type="lastRow">
      <w:rPr>
        <w:b/>
        <w:color w:val="a5a5a5" w:themeColor="accent3" w:themeTint="FE" w:themeShade="95"/>
      </w:rPr>
    </w:tblStylePr>
  </w:style>
  <w:style w:type="table" w:styleId="942" w:customStyle="1">
    <w:name w:val="Grid Table 6 Colorful - Accent 4"/>
    <w:basedOn w:val="875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</w:tblStylePr>
  </w:style>
  <w:style w:type="table" w:styleId="943" w:customStyle="1">
    <w:name w:val="Grid Table 6 Colorful - Accent 5"/>
    <w:basedOn w:val="875"/>
    <w:uiPriority w:val="99"/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944" w:customStyle="1">
    <w:name w:val="Grid Table 6 Colorful - Accent 6"/>
    <w:basedOn w:val="875"/>
    <w:uiPriority w:val="99"/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b/>
        <w:color w:val="254175" w:themeColor="accent5" w:themeShade="95"/>
      </w:rPr>
    </w:tblStylePr>
    <w:tblStylePr w:type="firstRow">
      <w:rPr>
        <w:b/>
        <w:color w:val="254175" w:themeColor="accent5" w:themeShade="95"/>
      </w:r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</w:tblStylePr>
    <w:tblStylePr w:type="lastRow">
      <w:rPr>
        <w:b/>
        <w:color w:val="254175" w:themeColor="accent5" w:themeShade="95"/>
      </w:rPr>
    </w:tblStylePr>
  </w:style>
  <w:style w:type="table" w:styleId="945">
    <w:name w:val="Grid Table 7 Colorful"/>
    <w:basedOn w:val="875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46" w:customStyle="1">
    <w:name w:val="Grid Table 7 Colorful - Accent 1"/>
    <w:basedOn w:val="875"/>
    <w:uiPriority w:val="99"/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blStylePr w:type="band1Horz">
      <w:rPr>
        <w:rFonts w:ascii="Arial" w:hAnsi="Arial"/>
        <w:color w:val="acccea" w:themeColor="accent1" w:themeTint="80" w:themeShade="95"/>
        <w:sz w:val="22"/>
      </w:rPr>
      <w:tcPr>
        <w:shd w:val="clear" w:color="ddeaf6" w:themeColor="accent1" w:themeTint="34" w:fill="ddeaf6" w:themeFill="accent1" w:themeFillTint="34"/>
      </w:tcPr>
    </w:tblStylePr>
    <w:tblStylePr w:type="band1Vert"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cPr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cPr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47" w:customStyle="1">
    <w:name w:val="Grid Table 7 Colorful - Accent 2"/>
    <w:basedOn w:val="875"/>
    <w:uiPriority w:val="99"/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be5d6" w:themeColor="accent2" w:themeTint="32" w:fill="fbe5d6" w:themeFill="accent2" w:themeFillTint="32"/>
      </w:tcPr>
    </w:tblStylePr>
    <w:tblStylePr w:type="band1Vert"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48" w:customStyle="1">
    <w:name w:val="Grid Table 7 Colorful - Accent 3"/>
    <w:basedOn w:val="875"/>
    <w:uiPriority w:val="99"/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blStylePr w:type="band1Horz">
      <w:rPr>
        <w:rFonts w:ascii="Arial" w:hAnsi="Arial"/>
        <w:color w:val="a5a5a5" w:themeColor="accent3" w:themeTint="FE" w:themeShade="95"/>
        <w:sz w:val="22"/>
      </w:rPr>
      <w:tcPr>
        <w:shd w:val="clear" w:color="ececec" w:themeColor="accent3" w:themeTint="34" w:fill="ececec" w:themeFill="accent3" w:themeFillTint="34"/>
      </w:tcPr>
    </w:tblStylePr>
    <w:tblStylePr w:type="band1Vert"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cPr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cPr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49" w:customStyle="1">
    <w:name w:val="Grid Table 7 Colorful - Accent 4"/>
    <w:basedOn w:val="875"/>
    <w:uiPriority w:val="99"/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f2cb" w:themeColor="accent4" w:themeTint="34" w:fill="fff2cb" w:themeFill="accent4" w:themeFillTint="34"/>
      </w:tcPr>
    </w:tblStylePr>
    <w:tblStylePr w:type="band1Vert"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0" w:customStyle="1">
    <w:name w:val="Grid Table 7 Colorful - Accent 5"/>
    <w:basedOn w:val="875"/>
    <w:uiPriority w:val="99"/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blStylePr w:type="band1Horz">
      <w:rPr>
        <w:rFonts w:ascii="Arial" w:hAnsi="Arial"/>
        <w:color w:val="254175" w:themeColor="accent5" w:themeShade="95"/>
        <w:sz w:val="22"/>
      </w:rPr>
      <w:tcPr>
        <w:shd w:val="clear" w:color="d8e2f3" w:themeColor="accent5" w:themeTint="34" w:fill="d8e2f3" w:themeFill="accent5" w:themeFillTint="34"/>
      </w:tcPr>
    </w:tblStylePr>
    <w:tblStylePr w:type="band1Vert"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cPr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1" w:customStyle="1">
    <w:name w:val="Grid Table 7 Colorful - Accent 6"/>
    <w:basedOn w:val="875"/>
    <w:uiPriority w:val="99"/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blStylePr w:type="band1Horz">
      <w:rPr>
        <w:rFonts w:ascii="Arial" w:hAnsi="Arial"/>
        <w:color w:val="416429" w:themeColor="accent6" w:themeShade="95"/>
        <w:sz w:val="22"/>
      </w:rPr>
      <w:tcPr>
        <w:shd w:val="clear" w:color="e1efd8" w:themeColor="accent6" w:themeTint="34" w:fill="e1efd8" w:themeFill="accent6" w:themeFillTint="34"/>
      </w:tcPr>
    </w:tblStylePr>
    <w:tblStylePr w:type="band1Vert"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cPr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52">
    <w:name w:val="List Table 1 Light"/>
    <w:basedOn w:val="875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3" w:customStyle="1">
    <w:name w:val="List Table 1 Light - Accent 1"/>
    <w:basedOn w:val="875"/>
    <w:uiPriority w:val="99"/>
    <w:tblPr>
      <w:tblStyleRowBandSize w:val="1"/>
      <w:tblStyleColBandSize w:val="1"/>
    </w:tblPr>
    <w:tblStylePr w:type="band1Horz"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4" w:customStyle="1">
    <w:name w:val="List Table 1 Light - Accent 2"/>
    <w:basedOn w:val="875"/>
    <w:uiPriority w:val="99"/>
    <w:tblPr>
      <w:tblStyleRowBandSize w:val="1"/>
      <w:tblStyleColBandSize w:val="1"/>
    </w:tblPr>
    <w:tblStylePr w:type="band1Horz"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5" w:customStyle="1">
    <w:name w:val="List Table 1 Light - Accent 3"/>
    <w:basedOn w:val="875"/>
    <w:uiPriority w:val="99"/>
    <w:tblPr>
      <w:tblStyleRowBandSize w:val="1"/>
      <w:tblStyleColBandSize w:val="1"/>
    </w:tblPr>
    <w:tblStylePr w:type="band1Horz"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6" w:customStyle="1">
    <w:name w:val="List Table 1 Light - Accent 4"/>
    <w:basedOn w:val="875"/>
    <w:uiPriority w:val="99"/>
    <w:tblPr>
      <w:tblStyleRowBandSize w:val="1"/>
      <w:tblStyleColBandSize w:val="1"/>
    </w:tblPr>
    <w:tblStylePr w:type="band1Horz"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7" w:customStyle="1">
    <w:name w:val="List Table 1 Light - Accent 5"/>
    <w:basedOn w:val="875"/>
    <w:uiPriority w:val="99"/>
    <w:tblPr>
      <w:tblStyleRowBandSize w:val="1"/>
      <w:tblStyleColBandSize w:val="1"/>
    </w:tblPr>
    <w:tblStylePr w:type="band1Horz"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8" w:customStyle="1">
    <w:name w:val="List Table 1 Light - Accent 6"/>
    <w:basedOn w:val="875"/>
    <w:uiPriority w:val="99"/>
    <w:tblPr>
      <w:tblStyleRowBandSize w:val="1"/>
      <w:tblStyleColBandSize w:val="1"/>
    </w:tblPr>
    <w:tblStylePr w:type="band1Horz"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59">
    <w:name w:val="List Table 2"/>
    <w:basedOn w:val="875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960" w:customStyle="1">
    <w:name w:val="List Table 2 - Accent 1"/>
    <w:basedOn w:val="875"/>
    <w:uiPriority w:val="99"/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</w:style>
  <w:style w:type="table" w:styleId="961" w:customStyle="1">
    <w:name w:val="List Table 2 - Accent 2"/>
    <w:basedOn w:val="875"/>
    <w:uiPriority w:val="99"/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</w:style>
  <w:style w:type="table" w:styleId="962" w:customStyle="1">
    <w:name w:val="List Table 2 - Accent 3"/>
    <w:basedOn w:val="875"/>
    <w:uiPriority w:val="99"/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</w:style>
  <w:style w:type="table" w:styleId="963" w:customStyle="1">
    <w:name w:val="List Table 2 - Accent 4"/>
    <w:basedOn w:val="875"/>
    <w:uiPriority w:val="99"/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</w:style>
  <w:style w:type="table" w:styleId="964" w:customStyle="1">
    <w:name w:val="List Table 2 - Accent 5"/>
    <w:basedOn w:val="875"/>
    <w:uiPriority w:val="99"/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</w:style>
  <w:style w:type="table" w:styleId="965" w:customStyle="1">
    <w:name w:val="List Table 2 - Accent 6"/>
    <w:basedOn w:val="875"/>
    <w:uiPriority w:val="99"/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</w:style>
  <w:style w:type="table" w:styleId="966">
    <w:name w:val="List Table 3"/>
    <w:basedOn w:val="87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7" w:customStyle="1">
    <w:name w:val="List Table 3 - Accent 1"/>
    <w:basedOn w:val="875"/>
    <w:uiPriority w:val="99"/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 w:customStyle="1">
    <w:name w:val="List Table 3 - Accent 2"/>
    <w:basedOn w:val="875"/>
    <w:uiPriority w:val="99"/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 w:customStyle="1">
    <w:name w:val="List Table 3 - Accent 3"/>
    <w:basedOn w:val="875"/>
    <w:uiPriority w:val="99"/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9c9c9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 w:customStyle="1">
    <w:name w:val="List Table 3 - Accent 4"/>
    <w:basedOn w:val="875"/>
    <w:uiPriority w:val="99"/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List Table 3 - Accent 5"/>
    <w:basedOn w:val="875"/>
    <w:uiPriority w:val="99"/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da9db" w:themeColor="accent5" w:themeTint="9A" w:fill="8da9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List Table 3 - Accent 6"/>
    <w:basedOn w:val="875"/>
    <w:uiPriority w:val="99"/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9d08e" w:themeColor="accent6" w:themeTint="98" w:fill="a9d08e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>
    <w:name w:val="List Table 4"/>
    <w:basedOn w:val="87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List Table 4 - Accent 1"/>
    <w:basedOn w:val="875"/>
    <w:uiPriority w:val="99"/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5e5f4" w:themeColor="accent1" w:themeTint="40" w:fill="d5e5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b9bd5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List Table 4 - Accent 2"/>
    <w:basedOn w:val="875"/>
    <w:uiPriority w:val="99"/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adecb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ed7d31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List Table 4 - Accent 3"/>
    <w:basedOn w:val="875"/>
    <w:uiPriority w:val="99"/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8e8e8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5a5a5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List Table 4 - Accent 4"/>
    <w:basedOn w:val="875"/>
    <w:uiPriority w:val="99"/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efb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c000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List Table 4 - Accent 5"/>
    <w:basedOn w:val="875"/>
    <w:uiPriority w:val="99"/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cfdbf0" w:themeColor="accent5" w:themeTint="40" w:fill="cfdb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472c4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List Table 4 - Accent 6"/>
    <w:basedOn w:val="875"/>
    <w:uiPriority w:val="99"/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aebcf" w:themeColor="accent6" w:themeTint="40" w:fill="daebc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70ad47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80">
    <w:name w:val="List Table 5 Dark"/>
    <w:basedOn w:val="875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1" w:customStyle="1">
    <w:name w:val="List Table 5 Dark - Accent 1"/>
    <w:basedOn w:val="875"/>
    <w:uiPriority w:val="99"/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Col"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2" w:customStyle="1">
    <w:name w:val="List Table 5 Dark - Accent 2"/>
    <w:basedOn w:val="875"/>
    <w:uiPriority w:val="99"/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Col"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3" w:customStyle="1">
    <w:name w:val="List Table 5 Dark - Accent 3"/>
    <w:basedOn w:val="875"/>
    <w:uiPriority w:val="99"/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Col"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4" w:customStyle="1">
    <w:name w:val="List Table 5 Dark - Accent 4"/>
    <w:basedOn w:val="875"/>
    <w:uiPriority w:val="99"/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Col"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5" w:customStyle="1">
    <w:name w:val="List Table 5 Dark - Accent 5"/>
    <w:basedOn w:val="875"/>
    <w:uiPriority w:val="99"/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8DA9DB" w:themeColor="accent5" w:themeTint="9A" w:sz="32" w:space="0"/>
          <w:bottom w:val="single" w:color="FFFFFF" w:themeColor="light1" w:sz="12" w:space="0"/>
        </w:tcBorders>
        <w:shd w:val="clear" w:color="8da9db" w:themeColor="accent5" w:themeTint="9A" w:fill="8da9db" w:themeFill="accent5" w:themeFillTint="9A"/>
      </w:tcPr>
    </w:tblStylePr>
    <w:tblStylePr w:type="lastCol"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6" w:customStyle="1">
    <w:name w:val="List Table 5 Dark - Accent 6"/>
    <w:basedOn w:val="875"/>
    <w:uiPriority w:val="99"/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blStylePr w:type="band1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1Vert">
      <w:tcPr>
        <w:tcBorders>
          <w:left w:val="single" w:color="FFFFFF" w:themeColor="light1" w:sz="4" w:space="0"/>
          <w:right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Col"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987">
    <w:name w:val="List Table 6 Colorful"/>
    <w:basedOn w:val="875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988" w:customStyle="1">
    <w:name w:val="List Table 6 Colorful - Accent 1"/>
    <w:basedOn w:val="875"/>
    <w:uiPriority w:val="99"/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b/>
        <w:color w:val="245a8d" w:themeColor="accent1" w:themeShade="95"/>
      </w:rPr>
    </w:tblStylePr>
    <w:tblStylePr w:type="firstRow">
      <w:rPr>
        <w:b/>
        <w:color w:val="245a8d" w:themeColor="accent1" w:themeShade="95"/>
      </w:r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</w:tblStylePr>
    <w:tblStylePr w:type="lastRow">
      <w:rPr>
        <w:b/>
        <w:color w:val="245a8d" w:themeColor="accent1" w:themeShade="95"/>
      </w:rPr>
      <w:tcPr>
        <w:tcBorders>
          <w:top w:val="single" w:color="5B9BD5" w:themeColor="accent1" w:sz="4" w:space="0"/>
        </w:tcBorders>
      </w:tcPr>
    </w:tblStylePr>
  </w:style>
  <w:style w:type="table" w:styleId="989" w:customStyle="1">
    <w:name w:val="List Table 6 Colorful - Accent 2"/>
    <w:basedOn w:val="875"/>
    <w:uiPriority w:val="99"/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b/>
        <w:color w:val="f4b184" w:themeColor="accent2" w:themeTint="97" w:themeShade="95"/>
      </w:rPr>
    </w:tblStylePr>
    <w:tblStylePr w:type="firstRow">
      <w:rPr>
        <w:b/>
        <w:color w:val="f4b184" w:themeColor="accent2" w:themeTint="97" w:themeShade="95"/>
      </w:r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</w:tblStylePr>
    <w:tblStylePr w:type="lastRow">
      <w:rPr>
        <w:b/>
        <w:color w:val="f4b184" w:themeColor="accent2" w:themeTint="97" w:themeShade="95"/>
      </w:rPr>
      <w:tcPr>
        <w:tcBorders>
          <w:top w:val="single" w:color="F4B184" w:themeColor="accent2" w:themeTint="97" w:sz="4" w:space="0"/>
        </w:tcBorders>
      </w:tcPr>
    </w:tblStylePr>
  </w:style>
  <w:style w:type="table" w:styleId="990" w:customStyle="1">
    <w:name w:val="List Table 6 Colorful - Accent 3"/>
    <w:basedOn w:val="875"/>
    <w:uiPriority w:val="99"/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b/>
        <w:color w:val="c9c9c9" w:themeColor="accent3" w:themeTint="98" w:themeShade="95"/>
      </w:rPr>
    </w:tblStylePr>
    <w:tblStylePr w:type="firstRow">
      <w:rPr>
        <w:b/>
        <w:color w:val="c9c9c9" w:themeColor="accent3" w:themeTint="98" w:themeShade="95"/>
      </w:r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</w:tblStylePr>
    <w:tblStylePr w:type="lastRow">
      <w:rPr>
        <w:b/>
        <w:color w:val="c9c9c9" w:themeColor="accent3" w:themeTint="98" w:themeShade="95"/>
      </w:rPr>
      <w:tcPr>
        <w:tcBorders>
          <w:top w:val="single" w:color="C9C9C9" w:themeColor="accent3" w:themeTint="98" w:sz="4" w:space="0"/>
        </w:tcBorders>
      </w:tcPr>
    </w:tblStylePr>
  </w:style>
  <w:style w:type="table" w:styleId="991" w:customStyle="1">
    <w:name w:val="List Table 6 Colorful - Accent 4"/>
    <w:basedOn w:val="875"/>
    <w:uiPriority w:val="99"/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b/>
        <w:color w:val="ffd865" w:themeColor="accent4" w:themeTint="9A" w:themeShade="95"/>
      </w:rPr>
    </w:tblStylePr>
    <w:tblStylePr w:type="firstRow">
      <w:rPr>
        <w:b/>
        <w:color w:val="ffd865" w:themeColor="accent4" w:themeTint="9A" w:themeShade="95"/>
      </w:r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</w:tblStylePr>
    <w:tblStylePr w:type="lastRow">
      <w:rPr>
        <w:b/>
        <w:color w:val="ffd865" w:themeColor="accent4" w:themeTint="9A" w:themeShade="95"/>
      </w:rPr>
      <w:tcPr>
        <w:tcBorders>
          <w:top w:val="single" w:color="FFD865" w:themeColor="accent4" w:themeTint="9A" w:sz="4" w:space="0"/>
        </w:tcBorders>
      </w:tcPr>
    </w:tblStylePr>
  </w:style>
  <w:style w:type="table" w:styleId="992" w:customStyle="1">
    <w:name w:val="List Table 6 Colorful - Accent 5"/>
    <w:basedOn w:val="875"/>
    <w:uiPriority w:val="99"/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b/>
        <w:color w:val="8da9db" w:themeColor="accent5" w:themeTint="9A" w:themeShade="95"/>
      </w:rPr>
    </w:tblStylePr>
    <w:tblStylePr w:type="firstRow">
      <w:rPr>
        <w:b/>
        <w:color w:val="8da9db" w:themeColor="accent5" w:themeTint="9A" w:themeShade="95"/>
      </w:r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</w:tblStylePr>
    <w:tblStylePr w:type="lastRow">
      <w:rPr>
        <w:b/>
        <w:color w:val="8da9db" w:themeColor="accent5" w:themeTint="9A" w:themeShade="95"/>
      </w:rPr>
      <w:tcPr>
        <w:tcBorders>
          <w:top w:val="single" w:color="8DA9DB" w:themeColor="accent5" w:themeTint="9A" w:sz="4" w:space="0"/>
        </w:tcBorders>
      </w:tcPr>
    </w:tblStylePr>
  </w:style>
  <w:style w:type="table" w:styleId="993" w:customStyle="1">
    <w:name w:val="List Table 6 Colorful - Accent 6"/>
    <w:basedOn w:val="875"/>
    <w:uiPriority w:val="99"/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b/>
        <w:color w:val="a9d08e" w:themeColor="accent6" w:themeTint="98" w:themeShade="95"/>
      </w:rPr>
    </w:tblStylePr>
    <w:tblStylePr w:type="firstRow">
      <w:rPr>
        <w:b/>
        <w:color w:val="a9d08e" w:themeColor="accent6" w:themeTint="98" w:themeShade="95"/>
      </w:r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</w:tblStylePr>
    <w:tblStylePr w:type="lastRow">
      <w:rPr>
        <w:b/>
        <w:color w:val="a9d08e" w:themeColor="accent6" w:themeTint="98" w:themeShade="95"/>
      </w:rPr>
      <w:tcPr>
        <w:tcBorders>
          <w:top w:val="single" w:color="A9D08E" w:themeColor="accent6" w:themeTint="98" w:sz="4" w:space="0"/>
        </w:tcBorders>
      </w:tcPr>
    </w:tblStylePr>
  </w:style>
  <w:style w:type="table" w:styleId="994">
    <w:name w:val="List Table 7 Colorful"/>
    <w:basedOn w:val="875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95" w:customStyle="1">
    <w:name w:val="List Table 7 Colorful - Accent 1"/>
    <w:basedOn w:val="875"/>
    <w:uiPriority w:val="99"/>
    <w:tblPr>
      <w:tblStyleRowBandSize w:val="1"/>
      <w:tblStyleColBandSize w:val="1"/>
      <w:tblBorders>
        <w:right w:val="single" w:color="5B9BD5" w:themeColor="accent1" w:sz="4" w:space="0"/>
      </w:tblBorders>
    </w:tblPr>
    <w:tblStylePr w:type="band1Horz">
      <w:rPr>
        <w:rFonts w:ascii="Arial" w:hAnsi="Arial"/>
        <w:color w:val="245a8d" w:themeColor="accent1" w:themeShade="95"/>
        <w:sz w:val="22"/>
      </w:rPr>
      <w:tcPr>
        <w:shd w:val="clear" w:color="d5e5f4" w:themeColor="accent1" w:themeTint="40" w:fill="d5e5f4" w:themeFill="accent1" w:themeFillTint="40"/>
      </w:tcPr>
    </w:tblStylePr>
    <w:tblStylePr w:type="band1Vert"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cPr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96" w:customStyle="1">
    <w:name w:val="List Table 7 Colorful - Accent 2"/>
    <w:basedOn w:val="875"/>
    <w:uiPriority w:val="99"/>
    <w:tblPr>
      <w:tblStyleRowBandSize w:val="1"/>
      <w:tblStyleColBandSize w:val="1"/>
      <w:tblBorders>
        <w:right w:val="single" w:color="F4B184" w:themeColor="accent2" w:themeTint="97" w:sz="4" w:space="0"/>
      </w:tblBorders>
    </w:tblPr>
    <w:tblStylePr w:type="band1Horz">
      <w:rPr>
        <w:rFonts w:ascii="Arial" w:hAnsi="Arial"/>
        <w:color w:val="f4b184" w:themeColor="accent2" w:themeTint="97" w:themeShade="95"/>
        <w:sz w:val="22"/>
      </w:rPr>
      <w:tcPr>
        <w:shd w:val="clear" w:color="fadecb" w:themeColor="accent2" w:themeTint="40" w:fill="fadecb" w:themeFill="accent2" w:themeFillTint="40"/>
      </w:tcPr>
    </w:tblStylePr>
    <w:tblStylePr w:type="band1Vert"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cPr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cPr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97" w:customStyle="1">
    <w:name w:val="List Table 7 Colorful - Accent 3"/>
    <w:basedOn w:val="875"/>
    <w:uiPriority w:val="99"/>
    <w:tblPr>
      <w:tblStyleRowBandSize w:val="1"/>
      <w:tblStyleColBandSize w:val="1"/>
      <w:tblBorders>
        <w:right w:val="single" w:color="C9C9C9" w:themeColor="accent3" w:themeTint="98" w:sz="4" w:space="0"/>
      </w:tblBorders>
    </w:tblPr>
    <w:tblStylePr w:type="band1Horz">
      <w:rPr>
        <w:rFonts w:ascii="Arial" w:hAnsi="Arial"/>
        <w:color w:val="c9c9c9" w:themeColor="accent3" w:themeTint="98" w:themeShade="95"/>
        <w:sz w:val="22"/>
      </w:rPr>
      <w:tcPr>
        <w:shd w:val="clear" w:color="e8e8e8" w:themeColor="accent3" w:themeTint="40" w:fill="e8e8e8" w:themeFill="accent3" w:themeFillTint="40"/>
      </w:tcPr>
    </w:tblStylePr>
    <w:tblStylePr w:type="band1Vert"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cPr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cPr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98" w:customStyle="1">
    <w:name w:val="List Table 7 Colorful - Accent 4"/>
    <w:basedOn w:val="875"/>
    <w:uiPriority w:val="99"/>
    <w:tblPr>
      <w:tblStyleRowBandSize w:val="1"/>
      <w:tblStyleColBandSize w:val="1"/>
      <w:tblBorders>
        <w:right w:val="single" w:color="FFD865" w:themeColor="accent4" w:themeTint="9A" w:sz="4" w:space="0"/>
      </w:tblBorders>
    </w:tblPr>
    <w:tblStylePr w:type="band1Horz">
      <w:rPr>
        <w:rFonts w:ascii="Arial" w:hAnsi="Arial"/>
        <w:color w:val="ffd865" w:themeColor="accent4" w:themeTint="9A" w:themeShade="95"/>
        <w:sz w:val="22"/>
      </w:rPr>
      <w:tcPr>
        <w:shd w:val="clear" w:color="ffefbf" w:themeColor="accent4" w:themeTint="40" w:fill="ffefbf" w:themeFill="accent4" w:themeFillTint="40"/>
      </w:tcPr>
    </w:tblStylePr>
    <w:tblStylePr w:type="band1Vert"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cPr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cPr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999" w:customStyle="1">
    <w:name w:val="List Table 7 Colorful - Accent 5"/>
    <w:basedOn w:val="875"/>
    <w:uiPriority w:val="99"/>
    <w:tblPr>
      <w:tblStyleRowBandSize w:val="1"/>
      <w:tblStyleColBandSize w:val="1"/>
      <w:tblBorders>
        <w:right w:val="single" w:color="8DA9DB" w:themeColor="accent5" w:themeTint="9A" w:sz="4" w:space="0"/>
      </w:tblBorders>
    </w:tblPr>
    <w:tblStylePr w:type="band1Horz">
      <w:rPr>
        <w:rFonts w:ascii="Arial" w:hAnsi="Arial"/>
        <w:color w:val="8da9db" w:themeColor="accent5" w:themeTint="9A" w:themeShade="95"/>
        <w:sz w:val="22"/>
      </w:rPr>
      <w:tcPr>
        <w:shd w:val="clear" w:color="cfdbf0" w:themeColor="accent5" w:themeTint="40" w:fill="cfdbf0" w:themeFill="accent5" w:themeFillTint="40"/>
      </w:tcPr>
    </w:tblStylePr>
    <w:tblStylePr w:type="band1Vert"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cPr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cPr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1000" w:customStyle="1">
    <w:name w:val="List Table 7 Colorful - Accent 6"/>
    <w:basedOn w:val="875"/>
    <w:uiPriority w:val="99"/>
    <w:tblPr>
      <w:tblStyleRowBandSize w:val="1"/>
      <w:tblStyleColBandSize w:val="1"/>
      <w:tblBorders>
        <w:right w:val="single" w:color="A9D08E" w:themeColor="accent6" w:themeTint="98" w:sz="4" w:space="0"/>
      </w:tblBorders>
    </w:tblPr>
    <w:tblStylePr w:type="band1Horz">
      <w:rPr>
        <w:rFonts w:ascii="Arial" w:hAnsi="Arial"/>
        <w:color w:val="a9d08e" w:themeColor="accent6" w:themeTint="98" w:themeShade="95"/>
        <w:sz w:val="22"/>
      </w:rPr>
      <w:tcPr>
        <w:shd w:val="clear" w:color="daebcf" w:themeColor="accent6" w:themeTint="40" w:fill="daebcf" w:themeFill="accent6" w:themeFillTint="40"/>
      </w:tcPr>
    </w:tblStylePr>
    <w:tblStylePr w:type="band1Vert"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cPr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  <w:shd w:val="clear" w:color="ffffff" w:fill="auto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cPr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1001" w:customStyle="1">
    <w:name w:val="Lined - Accent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02" w:customStyle="1">
    <w:name w:val="Lined - Accent 1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03" w:customStyle="1">
    <w:name w:val="Lined - Accent 2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04" w:customStyle="1">
    <w:name w:val="Lined - Accent 3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05" w:customStyle="1">
    <w:name w:val="Lined - Accent 4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06" w:customStyle="1">
    <w:name w:val="Lined - Accent 5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07" w:customStyle="1">
    <w:name w:val="Lined - Accent 6"/>
    <w:basedOn w:val="875"/>
    <w:uiPriority w:val="99"/>
    <w:rPr>
      <w:color w:val="40404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08" w:customStyle="1">
    <w:name w:val="Bordered &amp; Lined - Accent"/>
    <w:basedOn w:val="875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09" w:customStyle="1">
    <w:name w:val="Bordered &amp; Lined - Accent 1"/>
    <w:basedOn w:val="875"/>
    <w:uiPriority w:val="99"/>
    <w:rPr>
      <w:color w:val="404040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68a2d8" w:themeColor="accent1" w:themeTint="EA" w:fill="68a2d8" w:themeFill="accent1" w:themeFillTint="EA"/>
      </w:tcPr>
    </w:tblStylePr>
  </w:style>
  <w:style w:type="table" w:styleId="1010" w:customStyle="1">
    <w:name w:val="Bordered &amp; Lined - Accent 2"/>
    <w:basedOn w:val="875"/>
    <w:uiPriority w:val="99"/>
    <w:rPr>
      <w:color w:val="404040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4b184" w:themeColor="accent2" w:themeTint="97" w:fill="f4b184" w:themeFill="accent2" w:themeFillTint="97"/>
      </w:tcPr>
    </w:tblStylePr>
  </w:style>
  <w:style w:type="table" w:styleId="1011" w:customStyle="1">
    <w:name w:val="Bordered &amp; Lined - Accent 3"/>
    <w:basedOn w:val="875"/>
    <w:uiPriority w:val="99"/>
    <w:rPr>
      <w:color w:val="404040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5a5a5" w:themeColor="accent3" w:themeTint="FE" w:fill="a5a5a5" w:themeFill="accent3" w:themeFillTint="FE"/>
      </w:tcPr>
    </w:tblStylePr>
  </w:style>
  <w:style w:type="table" w:styleId="1012" w:customStyle="1">
    <w:name w:val="Bordered &amp; Lined - Accent 4"/>
    <w:basedOn w:val="875"/>
    <w:uiPriority w:val="99"/>
    <w:rPr>
      <w:color w:val="404040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d865" w:themeColor="accent4" w:themeTint="9A" w:fill="ffd865" w:themeFill="accent4" w:themeFillTint="9A"/>
      </w:tcPr>
    </w:tblStylePr>
  </w:style>
  <w:style w:type="table" w:styleId="1013" w:customStyle="1">
    <w:name w:val="Bordered &amp; Lined - Accent 5"/>
    <w:basedOn w:val="875"/>
    <w:uiPriority w:val="99"/>
    <w:rPr>
      <w:color w:val="404040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472c4" w:themeColor="accent5" w:fill="4472c4" w:themeFill="accent5"/>
      </w:tcPr>
    </w:tblStylePr>
  </w:style>
  <w:style w:type="table" w:styleId="1014" w:customStyle="1">
    <w:name w:val="Bordered &amp; Lined - Accent 6"/>
    <w:basedOn w:val="875"/>
    <w:uiPriority w:val="99"/>
    <w:rPr>
      <w:color w:val="404040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70ad47" w:themeColor="accent6" w:fill="70ad47" w:themeFill="accent6"/>
      </w:tcPr>
    </w:tblStylePr>
  </w:style>
  <w:style w:type="table" w:styleId="1015" w:customStyle="1">
    <w:name w:val="Bordered"/>
    <w:basedOn w:val="875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16" w:customStyle="1">
    <w:name w:val="Bordered - Accent 1"/>
    <w:basedOn w:val="875"/>
    <w:uiPriority w:val="99"/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5B9BD5" w:themeColor="accent1" w:sz="12" w:space="0"/>
        </w:tcBorders>
      </w:tcPr>
    </w:tblStylePr>
  </w:style>
  <w:style w:type="table" w:styleId="1017" w:customStyle="1">
    <w:name w:val="Bordered - Accent 2"/>
    <w:basedOn w:val="875"/>
    <w:uiPriority w:val="99"/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4B184" w:themeColor="accent2" w:themeTint="97" w:sz="12" w:space="0"/>
        </w:tcBorders>
      </w:tcPr>
    </w:tblStylePr>
  </w:style>
  <w:style w:type="table" w:styleId="1018" w:customStyle="1">
    <w:name w:val="Bordered - Accent 3"/>
    <w:basedOn w:val="875"/>
    <w:uiPriority w:val="99"/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9C9C9" w:themeColor="accent3" w:themeTint="98" w:sz="12" w:space="0"/>
        </w:tcBorders>
      </w:tcPr>
    </w:tblStylePr>
  </w:style>
  <w:style w:type="table" w:styleId="1019" w:customStyle="1">
    <w:name w:val="Bordered - Accent 4"/>
    <w:basedOn w:val="875"/>
    <w:uiPriority w:val="99"/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FD865" w:themeColor="accent4" w:themeTint="9A" w:sz="12" w:space="0"/>
        </w:tcBorders>
      </w:tcPr>
    </w:tblStylePr>
  </w:style>
  <w:style w:type="table" w:styleId="1020" w:customStyle="1">
    <w:name w:val="Bordered - Accent 5"/>
    <w:basedOn w:val="875"/>
    <w:uiPriority w:val="99"/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8DA9DB" w:themeColor="accent5" w:themeTint="9A" w:sz="12" w:space="0"/>
        </w:tcBorders>
      </w:tcPr>
    </w:tblStylePr>
  </w:style>
  <w:style w:type="table" w:styleId="1021" w:customStyle="1">
    <w:name w:val="Bordered - Accent 6"/>
    <w:basedOn w:val="875"/>
    <w:uiPriority w:val="99"/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A9D08E" w:themeColor="accent6" w:themeTint="98" w:sz="12" w:space="0"/>
        </w:tcBorders>
      </w:tcPr>
    </w:tblStylePr>
  </w:style>
  <w:style w:type="character" w:styleId="1022" w:customStyle="1">
    <w:name w:val="Footnote Text Char"/>
    <w:uiPriority w:val="99"/>
    <w:rPr>
      <w:sz w:val="18"/>
    </w:rPr>
  </w:style>
  <w:style w:type="paragraph" w:styleId="1023">
    <w:name w:val="endnote text"/>
    <w:basedOn w:val="864"/>
    <w:link w:val="1024"/>
    <w:uiPriority w:val="99"/>
    <w:semiHidden/>
    <w:unhideWhenUsed/>
    <w:pPr>
      <w:spacing w:after="0" w:line="240" w:lineRule="auto"/>
    </w:pPr>
    <w:rPr>
      <w:sz w:val="20"/>
    </w:rPr>
  </w:style>
  <w:style w:type="character" w:styleId="1024" w:customStyle="1">
    <w:name w:val="Текст концевой сноски Знак"/>
    <w:link w:val="1023"/>
    <w:uiPriority w:val="99"/>
    <w:rPr>
      <w:sz w:val="20"/>
    </w:rPr>
  </w:style>
  <w:style w:type="character" w:styleId="1025">
    <w:name w:val="endnote reference"/>
    <w:basedOn w:val="874"/>
    <w:uiPriority w:val="99"/>
    <w:semiHidden/>
    <w:unhideWhenUsed/>
    <w:rPr>
      <w:vertAlign w:val="superscript"/>
    </w:rPr>
  </w:style>
  <w:style w:type="paragraph" w:styleId="1026">
    <w:name w:val="table of figures"/>
    <w:basedOn w:val="864"/>
    <w:next w:val="864"/>
    <w:uiPriority w:val="99"/>
    <w:unhideWhenUsed/>
    <w:pPr>
      <w:spacing w:after="0"/>
    </w:pPr>
  </w:style>
  <w:style w:type="character" w:styleId="1027" w:customStyle="1">
    <w:name w:val="Заголовок 1 Знак"/>
    <w:link w:val="865"/>
    <w:uiPriority w:val="9"/>
    <w:rPr>
      <w:rFonts w:ascii="Cambria" w:hAnsi="Cambria" w:eastAsia="Times New Roman" w:cs="Times New Roman"/>
      <w:b/>
      <w:bCs/>
      <w:sz w:val="32"/>
      <w:szCs w:val="32"/>
      <w:lang w:eastAsia="ar-SA"/>
    </w:rPr>
  </w:style>
  <w:style w:type="paragraph" w:styleId="1028" w:customStyle="1">
    <w:name w:val="Default"/>
    <w:rPr>
      <w:rFonts w:ascii="Times New Roman" w:hAnsi="Times New Roman" w:eastAsia="Times New Roman"/>
      <w:color w:val="000000"/>
      <w:sz w:val="24"/>
      <w:szCs w:val="24"/>
    </w:rPr>
  </w:style>
  <w:style w:type="paragraph" w:styleId="1029">
    <w:name w:val="Normal (Web)"/>
    <w:basedOn w:val="864"/>
    <w:link w:val="1030"/>
    <w:uiPriority w:val="99"/>
    <w:pPr>
      <w:spacing w:before="100" w:after="100" w:line="240" w:lineRule="auto"/>
    </w:pPr>
    <w:rPr>
      <w:rFonts w:ascii="Times New Roman" w:hAnsi="Times New Roman" w:eastAsia="Times New Roman" w:cs="Times New Roman"/>
      <w:sz w:val="28"/>
      <w:szCs w:val="20"/>
    </w:rPr>
  </w:style>
  <w:style w:type="character" w:styleId="1030" w:customStyle="1">
    <w:name w:val="Обычный (Интернет) Знак"/>
    <w:link w:val="1029"/>
    <w:uiPriority w:val="99"/>
    <w:rPr>
      <w:rFonts w:ascii="Times New Roman" w:hAnsi="Times New Roman" w:eastAsia="Times New Roman" w:cs="Times New Roman"/>
      <w:sz w:val="28"/>
      <w:szCs w:val="20"/>
    </w:rPr>
  </w:style>
  <w:style w:type="paragraph" w:styleId="1031" w:customStyle="1">
    <w:name w:val="ConsPlusNormal"/>
    <w:pPr>
      <w:widowControl w:val="off"/>
    </w:pPr>
    <w:rPr>
      <w:rFonts w:eastAsia="Times New Roman" w:cs="Calibri"/>
      <w:sz w:val="22"/>
    </w:rPr>
  </w:style>
  <w:style w:type="paragraph" w:styleId="1032" w:customStyle="1">
    <w:name w:val="ConsPlusTitle"/>
    <w:pPr>
      <w:widowControl w:val="off"/>
    </w:pPr>
    <w:rPr>
      <w:rFonts w:eastAsia="Times New Roman" w:cs="Calibri"/>
      <w:b/>
      <w:sz w:val="22"/>
    </w:rPr>
  </w:style>
  <w:style w:type="table" w:styleId="1033">
    <w:name w:val="Table Grid"/>
    <w:basedOn w:val="875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034">
    <w:name w:val="footnote text"/>
    <w:basedOn w:val="864"/>
    <w:link w:val="1035"/>
    <w:unhideWhenUsed/>
    <w:pPr>
      <w:spacing w:after="0" w:line="240" w:lineRule="auto"/>
    </w:pPr>
    <w:rPr>
      <w:rFonts w:eastAsia="Calibri" w:cs="Times New Roman"/>
      <w:sz w:val="20"/>
      <w:szCs w:val="20"/>
    </w:rPr>
  </w:style>
  <w:style w:type="character" w:styleId="1035" w:customStyle="1">
    <w:name w:val="Текст сноски Знак"/>
    <w:link w:val="1034"/>
    <w:uiPriority w:val="99"/>
    <w:qFormat/>
    <w:rPr>
      <w:sz w:val="20"/>
      <w:szCs w:val="20"/>
    </w:rPr>
  </w:style>
  <w:style w:type="character" w:styleId="1036">
    <w:name w:val="footnote reference"/>
    <w:unhideWhenUsed/>
    <w:rPr>
      <w:vertAlign w:val="superscript"/>
    </w:rPr>
  </w:style>
  <w:style w:type="character" w:styleId="1037">
    <w:name w:val="Hyperlink"/>
    <w:uiPriority w:val="99"/>
    <w:unhideWhenUsed/>
    <w:rPr>
      <w:color w:val="0000ff"/>
      <w:u w:val="single"/>
    </w:rPr>
  </w:style>
  <w:style w:type="paragraph" w:styleId="1038">
    <w:name w:val="List Paragraph"/>
    <w:basedOn w:val="864"/>
    <w:link w:val="1042"/>
    <w:uiPriority w:val="34"/>
    <w:qFormat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1039">
    <w:name w:val="Balloon Text"/>
    <w:basedOn w:val="864"/>
    <w:link w:val="1040"/>
    <w:uiPriority w:val="99"/>
    <w:semiHidden/>
    <w:unhideWhenUsed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styleId="1040" w:customStyle="1">
    <w:name w:val="Текст выноски Знак"/>
    <w:link w:val="1039"/>
    <w:uiPriority w:val="99"/>
    <w:semiHidden/>
    <w:rPr>
      <w:rFonts w:ascii="Tahoma" w:hAnsi="Tahoma" w:eastAsia="SimSun" w:cs="Tahoma"/>
      <w:sz w:val="16"/>
      <w:szCs w:val="16"/>
      <w:lang w:eastAsia="ar-SA"/>
    </w:rPr>
  </w:style>
  <w:style w:type="character" w:styleId="1041">
    <w:name w:val="Strong"/>
    <w:uiPriority w:val="22"/>
    <w:qFormat/>
    <w:rPr>
      <w:b/>
      <w:bCs/>
    </w:rPr>
  </w:style>
  <w:style w:type="character" w:styleId="1042" w:customStyle="1">
    <w:name w:val="Абзац списка Знак"/>
    <w:link w:val="1038"/>
    <w:qFormat/>
  </w:style>
  <w:style w:type="paragraph" w:styleId="1043">
    <w:name w:val="Footer"/>
    <w:basedOn w:val="864"/>
    <w:link w:val="1044"/>
    <w:uiPriority w:val="99"/>
    <w:unhideWhenUsed/>
    <w:pPr>
      <w:tabs>
        <w:tab w:val="center" w:pos="4677" w:leader="none"/>
        <w:tab w:val="right" w:pos="9355" w:leader="none"/>
      </w:tabs>
    </w:pPr>
    <w:rPr>
      <w:rFonts w:eastAsia="Calibri" w:cs="Times New Roman"/>
      <w:sz w:val="20"/>
      <w:szCs w:val="20"/>
    </w:rPr>
  </w:style>
  <w:style w:type="character" w:styleId="1044" w:customStyle="1">
    <w:name w:val="Нижний колонтитул Знак"/>
    <w:link w:val="1043"/>
    <w:uiPriority w:val="99"/>
    <w:rPr>
      <w:rFonts w:ascii="Calibri" w:hAnsi="Calibri" w:eastAsia="Calibri" w:cs="Times New Roman"/>
    </w:rPr>
  </w:style>
  <w:style w:type="character" w:styleId="1045" w:customStyle="1">
    <w:name w:val="Заголовок 7 Знак"/>
    <w:link w:val="871"/>
    <w:uiPriority w:val="9"/>
    <w:semiHidden/>
    <w:rPr>
      <w:rFonts w:ascii="Cambria" w:hAnsi="Cambria" w:eastAsia="Times New Roman" w:cs="Times New Roman"/>
      <w:i/>
      <w:iCs/>
      <w:color w:val="404040"/>
      <w:lang w:eastAsia="ar-SA"/>
    </w:rPr>
  </w:style>
  <w:style w:type="character" w:styleId="1046">
    <w:name w:val="Emphasis"/>
    <w:uiPriority w:val="20"/>
    <w:qFormat/>
    <w:rPr>
      <w:i/>
      <w:iCs/>
    </w:rPr>
  </w:style>
  <w:style w:type="paragraph" w:styleId="1047" w:customStyle="1">
    <w:name w:val="Стиль13"/>
    <w:basedOn w:val="864"/>
    <w:uiPriority w:val="99"/>
    <w:pPr>
      <w:spacing w:after="0" w:line="240" w:lineRule="auto"/>
      <w:ind w:firstLine="720"/>
      <w:jc w:val="both"/>
    </w:pPr>
    <w:rPr>
      <w:rFonts w:ascii="Times New Roman" w:hAnsi="Times New Roman" w:eastAsia="Times New Roman" w:cs="Times New Roman"/>
      <w:sz w:val="28"/>
      <w:szCs w:val="20"/>
      <w:lang w:eastAsia="ru-RU"/>
    </w:rPr>
  </w:style>
  <w:style w:type="character" w:styleId="1048" w:customStyle="1">
    <w:name w:val="markedcontent"/>
    <w:basedOn w:val="874"/>
  </w:style>
  <w:style w:type="character" w:styleId="1049" w:customStyle="1">
    <w:name w:val="Заголовок 2 Знак"/>
    <w:link w:val="866"/>
    <w:uiPriority w:val="9"/>
    <w:rPr>
      <w:rFonts w:ascii="Cambria" w:hAnsi="Cambria" w:eastAsia="Times New Roman" w:cs="Times New Roman"/>
      <w:b/>
      <w:bCs/>
      <w:color w:val="4f81bd"/>
      <w:sz w:val="26"/>
      <w:szCs w:val="26"/>
      <w:lang w:eastAsia="ar-SA"/>
    </w:rPr>
  </w:style>
  <w:style w:type="paragraph" w:styleId="1050" w:customStyle="1">
    <w:name w:val="Обычный1"/>
    <w:pPr>
      <w:ind w:firstLine="709"/>
    </w:pPr>
    <w:rPr>
      <w:rFonts w:cs="Calibri"/>
      <w:sz w:val="22"/>
      <w:szCs w:val="22"/>
    </w:rPr>
  </w:style>
  <w:style w:type="paragraph" w:styleId="1051">
    <w:name w:val="No Spacing"/>
    <w:uiPriority w:val="1"/>
    <w:qFormat/>
    <w:rPr>
      <w:sz w:val="22"/>
      <w:szCs w:val="22"/>
      <w:lang w:eastAsia="en-US"/>
    </w:rPr>
  </w:style>
  <w:style w:type="numbering" w:styleId="1052" w:customStyle="1">
    <w:name w:val="Нет списка1"/>
    <w:next w:val="876"/>
    <w:uiPriority w:val="99"/>
    <w:semiHidden/>
    <w:unhideWhenUsed/>
  </w:style>
  <w:style w:type="character" w:styleId="1053">
    <w:name w:val="FollowedHyperlink"/>
    <w:uiPriority w:val="99"/>
    <w:semiHidden/>
    <w:unhideWhenUsed/>
    <w:rPr>
      <w:color w:val="800080"/>
      <w:u w:val="single"/>
    </w:rPr>
  </w:style>
  <w:style w:type="character" w:styleId="1054" w:customStyle="1">
    <w:name w:val="Верхний колонтитул Знак"/>
    <w:link w:val="1055"/>
    <w:uiPriority w:val="99"/>
    <w:rPr>
      <w:rFonts w:ascii="Times New Roman" w:hAnsi="Times New Roman" w:eastAsia="Times New Roman" w:cs="Times New Roman"/>
    </w:rPr>
  </w:style>
  <w:style w:type="paragraph" w:styleId="1055">
    <w:name w:val="Header"/>
    <w:basedOn w:val="864"/>
    <w:link w:val="1054"/>
    <w:uiPriority w:val="99"/>
    <w:unhideWhenUsed/>
    <w:pPr>
      <w:tabs>
        <w:tab w:val="center" w:pos="4677" w:leader="none"/>
        <w:tab w:val="right" w:pos="9355" w:leader="none"/>
      </w:tabs>
      <w:spacing w:after="0" w:line="240" w:lineRule="auto"/>
    </w:pPr>
    <w:rPr>
      <w:rFonts w:ascii="Times New Roman" w:hAnsi="Times New Roman" w:eastAsia="Times New Roman" w:cs="Times New Roman"/>
      <w:sz w:val="20"/>
      <w:szCs w:val="20"/>
    </w:rPr>
  </w:style>
  <w:style w:type="character" w:styleId="1056" w:customStyle="1">
    <w:name w:val="Верхний колонтитул Знак1"/>
    <w:uiPriority w:val="99"/>
    <w:semiHidden/>
    <w:rPr>
      <w:rFonts w:ascii="Calibri" w:hAnsi="Calibri" w:eastAsia="SimSun" w:cs="font405"/>
      <w:lang w:eastAsia="ar-SA"/>
    </w:rPr>
  </w:style>
  <w:style w:type="paragraph" w:styleId="1057">
    <w:name w:val="Body Text"/>
    <w:basedOn w:val="864"/>
    <w:link w:val="1058"/>
    <w:uiPriority w:val="1"/>
    <w:unhideWhenUsed/>
    <w:qFormat/>
    <w:pPr>
      <w:widowControl w:val="off"/>
      <w:spacing w:after="0" w:line="240" w:lineRule="auto"/>
      <w:jc w:val="both"/>
    </w:pPr>
    <w:rPr>
      <w:rFonts w:ascii="Times New Roman" w:hAnsi="Times New Roman" w:eastAsia="Times New Roman" w:cs="Times New Roman"/>
      <w:sz w:val="24"/>
      <w:szCs w:val="24"/>
    </w:rPr>
  </w:style>
  <w:style w:type="character" w:styleId="1058" w:customStyle="1">
    <w:name w:val="Основной текст Знак"/>
    <w:link w:val="1057"/>
    <w:uiPriority w:val="1"/>
    <w:rPr>
      <w:rFonts w:ascii="Times New Roman" w:hAnsi="Times New Roman" w:eastAsia="Times New Roman" w:cs="Times New Roman"/>
      <w:sz w:val="24"/>
      <w:szCs w:val="24"/>
    </w:rPr>
  </w:style>
  <w:style w:type="paragraph" w:styleId="1059">
    <w:name w:val="Body Text Indent 2"/>
    <w:basedOn w:val="864"/>
    <w:link w:val="1060"/>
    <w:uiPriority w:val="99"/>
    <w:unhideWhenUsed/>
    <w:pPr>
      <w:spacing w:after="0" w:line="360" w:lineRule="auto"/>
      <w:ind w:firstLine="720"/>
      <w:jc w:val="both"/>
    </w:pPr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060" w:customStyle="1">
    <w:name w:val="Основной текст с отступом 2 Знак"/>
    <w:link w:val="1059"/>
    <w:uiPriority w:val="99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1061" w:customStyle="1">
    <w:name w:val="Гипертекстовая ссылка"/>
    <w:uiPriority w:val="99"/>
    <w:rPr>
      <w:b w:val="0"/>
      <w:bCs w:val="0"/>
      <w:color w:val="106bbe"/>
    </w:rPr>
  </w:style>
  <w:style w:type="table" w:styleId="1062" w:customStyle="1">
    <w:name w:val="Сетка таблицы1"/>
    <w:rPr>
      <w:rFonts w:eastAsia="Times New Roman"/>
      <w:sz w:val="22"/>
      <w:szCs w:val="22"/>
      <w:lang w:val="en-US" w:eastAsia="en-US"/>
    </w:rPr>
    <w:tblPr>
      <w:tblCellMar>
        <w:left w:w="0" w:type="dxa"/>
        <w:top w:w="0" w:type="dxa"/>
        <w:right w:w="0" w:type="dxa"/>
        <w:bottom w:w="0" w:type="dxa"/>
      </w:tblCellMar>
    </w:tblPr>
  </w:style>
  <w:style w:type="table" w:styleId="1063" w:customStyle="1">
    <w:name w:val="Таблица-сетка 4 — акцент 11"/>
    <w:basedOn w:val="875"/>
    <w:uiPriority w:val="49"/>
    <w:tblPr>
      <w:tblStyleRowBandSize w:val="1"/>
      <w:tblStyleColBandSize w:val="1"/>
      <w:tblBorders>
        <w:top w:val="single" w:color="95B3D7" w:sz="4" w:space="0"/>
        <w:left w:val="single" w:color="95B3D7" w:sz="4" w:space="0"/>
        <w:bottom w:val="single" w:color="95B3D7" w:sz="4" w:space="0"/>
        <w:right w:val="single" w:color="95B3D7" w:sz="4" w:space="0"/>
        <w:insideH w:val="single" w:color="95B3D7" w:sz="4" w:space="0"/>
        <w:insideV w:val="single" w:color="95B3D7" w:sz="4" w:space="0"/>
      </w:tblBorders>
    </w:tblPr>
    <w:tblStylePr w:type="band1Horz">
      <w:tcPr>
        <w:shd w:val="clear" w:color="auto" w:fill="dbe5f1"/>
      </w:tcPr>
    </w:tblStylePr>
    <w:tblStylePr w:type="band1Vert">
      <w:tcPr>
        <w:shd w:val="clear" w:color="auto" w:fill="dbe5f1"/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tcPr>
        <w:tcBorders>
          <w:top w:val="single" w:color="4F81BD" w:sz="4" w:space="0"/>
          <w:left w:val="single" w:color="4F81BD" w:sz="4" w:space="0"/>
          <w:bottom w:val="single" w:color="4F81BD" w:sz="4" w:space="0"/>
          <w:right w:val="single" w:color="4F81BD" w:sz="4" w:space="0"/>
        </w:tcBorders>
        <w:shd w:val="clear" w:color="auto" w:fill="4f81bd"/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F81BD" w:sz="4" w:space="0"/>
        </w:tcBorders>
      </w:tcPr>
    </w:tblStylePr>
  </w:style>
  <w:style w:type="paragraph" w:styleId="1064" w:customStyle="1">
    <w:name w:val="Заголовок 21"/>
    <w:basedOn w:val="864"/>
    <w:next w:val="864"/>
    <w:uiPriority w:val="9"/>
    <w:semiHidden/>
    <w:unhideWhenUsed/>
    <w:qFormat/>
    <w:pPr>
      <w:keepNext/>
      <w:keepLines/>
      <w:spacing w:before="200" w:after="0"/>
      <w:outlineLvl w:val="1"/>
    </w:pPr>
    <w:rPr>
      <w:rFonts w:ascii="Cambria" w:hAnsi="Cambria" w:eastAsia="Times New Roman" w:cs="Times New Roman"/>
      <w:b/>
      <w:bCs/>
      <w:color w:val="4f81bd"/>
      <w:sz w:val="26"/>
      <w:szCs w:val="26"/>
    </w:rPr>
  </w:style>
  <w:style w:type="paragraph" w:styleId="1065" w:customStyle="1">
    <w:name w:val="Заголовок 71"/>
    <w:basedOn w:val="864"/>
    <w:next w:val="864"/>
    <w:uiPriority w:val="9"/>
    <w:semiHidden/>
    <w:unhideWhenUsed/>
    <w:qFormat/>
    <w:pPr>
      <w:keepNext/>
      <w:keepLines/>
      <w:spacing w:before="200" w:after="0"/>
      <w:outlineLvl w:val="6"/>
    </w:pPr>
    <w:rPr>
      <w:rFonts w:ascii="Cambria" w:hAnsi="Cambria" w:eastAsia="Times New Roman" w:cs="Times New Roman"/>
      <w:i/>
      <w:iCs/>
      <w:color w:val="404040"/>
    </w:rPr>
  </w:style>
  <w:style w:type="paragraph" w:styleId="1066" w:customStyle="1">
    <w:name w:val="Текст сноски1"/>
    <w:basedOn w:val="864"/>
    <w:next w:val="1034"/>
    <w:uiPriority w:val="99"/>
    <w:semiHidden/>
    <w:unhideWhenUsed/>
    <w:pPr>
      <w:spacing w:after="0" w:line="240" w:lineRule="auto"/>
    </w:pPr>
    <w:rPr>
      <w:rFonts w:eastAsia="Calibri" w:cs="Times New Roman"/>
      <w:sz w:val="20"/>
      <w:szCs w:val="20"/>
      <w:lang w:eastAsia="en-US"/>
    </w:rPr>
  </w:style>
  <w:style w:type="character" w:styleId="1067" w:customStyle="1">
    <w:name w:val="Гиперссылка1"/>
    <w:uiPriority w:val="99"/>
    <w:unhideWhenUsed/>
    <w:rPr>
      <w:color w:val="0000ff"/>
      <w:u w:val="single"/>
    </w:rPr>
  </w:style>
  <w:style w:type="paragraph" w:styleId="1068" w:customStyle="1">
    <w:name w:val="Варианты ответов1"/>
    <w:basedOn w:val="864"/>
    <w:next w:val="1038"/>
    <w:uiPriority w:val="34"/>
    <w:qFormat/>
    <w:pPr>
      <w:spacing w:after="200" w:line="276" w:lineRule="auto"/>
      <w:ind w:left="720"/>
      <w:contextualSpacing/>
    </w:pPr>
    <w:rPr>
      <w:rFonts w:eastAsia="Calibri" w:cs="Times New Roman"/>
      <w:lang w:eastAsia="en-US"/>
    </w:rPr>
  </w:style>
  <w:style w:type="paragraph" w:styleId="1069" w:customStyle="1">
    <w:name w:val="Обычный11"/>
    <w:pPr>
      <w:ind w:firstLine="709"/>
    </w:pPr>
    <w:rPr>
      <w:rFonts w:cs="Calibri"/>
      <w:sz w:val="22"/>
      <w:szCs w:val="22"/>
    </w:rPr>
  </w:style>
  <w:style w:type="numbering" w:styleId="1070" w:customStyle="1">
    <w:name w:val="Нет списка11"/>
    <w:next w:val="876"/>
    <w:uiPriority w:val="99"/>
    <w:semiHidden/>
    <w:unhideWhenUsed/>
  </w:style>
  <w:style w:type="character" w:styleId="1071" w:customStyle="1">
    <w:name w:val="Просмотренная гиперссылка1"/>
    <w:uiPriority w:val="99"/>
    <w:semiHidden/>
    <w:unhideWhenUsed/>
    <w:rPr>
      <w:color w:val="800080"/>
      <w:u w:val="single"/>
    </w:rPr>
  </w:style>
  <w:style w:type="character" w:styleId="1072" w:customStyle="1">
    <w:name w:val="Текст сноски Знак1"/>
    <w:uiPriority w:val="99"/>
    <w:semiHidden/>
    <w:rPr>
      <w:sz w:val="20"/>
      <w:szCs w:val="20"/>
    </w:rPr>
  </w:style>
  <w:style w:type="character" w:styleId="1073" w:customStyle="1">
    <w:name w:val="Заголовок 7 Знак1"/>
    <w:uiPriority w:val="9"/>
    <w:semiHidden/>
    <w:rPr>
      <w:rFonts w:ascii="Cambria" w:hAnsi="Cambria" w:eastAsia="Times New Roman" w:cs="Times New Roman"/>
      <w:i/>
      <w:iCs/>
      <w:color w:val="404040"/>
    </w:rPr>
  </w:style>
  <w:style w:type="character" w:styleId="1074" w:customStyle="1">
    <w:name w:val="Заголовок 2 Знак1"/>
    <w:uiPriority w:val="9"/>
    <w:semiHidden/>
    <w:rPr>
      <w:rFonts w:ascii="Cambria" w:hAnsi="Cambria" w:eastAsia="Times New Roman" w:cs="Times New Roman"/>
      <w:b/>
      <w:bCs/>
      <w:color w:val="4f81bd"/>
      <w:sz w:val="26"/>
      <w:szCs w:val="26"/>
    </w:rPr>
  </w:style>
  <w:style w:type="character" w:styleId="1075">
    <w:name w:val="Intense Emphasis"/>
    <w:uiPriority w:val="21"/>
    <w:qFormat/>
    <w:rPr>
      <w:b/>
      <w:bCs/>
      <w:i/>
      <w:iCs/>
      <w:color w:val="4f81bd"/>
    </w:rPr>
  </w:style>
  <w:style w:type="paragraph" w:styleId="1076" w:customStyle="1">
    <w:name w:val="formattext"/>
    <w:basedOn w:val="864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77" w:customStyle="1">
    <w:name w:val="Обычный2"/>
    <w:pPr>
      <w:ind w:firstLine="709"/>
    </w:pPr>
    <w:rPr>
      <w:rFonts w:cs="Calibri"/>
      <w:sz w:val="22"/>
      <w:szCs w:val="22"/>
    </w:rPr>
  </w:style>
  <w:style w:type="table" w:styleId="1078" w:customStyle="1">
    <w:name w:val="Таблица-сетка 4 — акцент 12"/>
    <w:basedOn w:val="875"/>
    <w:uiPriority w:val="49"/>
    <w:tblPr>
      <w:tblStyleRowBandSize w:val="1"/>
      <w:tblStyleColBandSize w:val="1"/>
      <w:tblBorders>
        <w:top w:val="single" w:color="95B3D7" w:sz="4" w:space="0"/>
        <w:left w:val="single" w:color="95B3D7" w:sz="4" w:space="0"/>
        <w:bottom w:val="single" w:color="95B3D7" w:sz="4" w:space="0"/>
        <w:right w:val="single" w:color="95B3D7" w:sz="4" w:space="0"/>
        <w:insideH w:val="single" w:color="95B3D7" w:sz="4" w:space="0"/>
        <w:insideV w:val="single" w:color="95B3D7" w:sz="4" w:space="0"/>
      </w:tblBorders>
    </w:tblPr>
    <w:tblStylePr w:type="band1Horz">
      <w:tcPr>
        <w:shd w:val="clear" w:color="auto" w:fill="dbe5f1"/>
      </w:tcPr>
    </w:tblStylePr>
    <w:tblStylePr w:type="band1Vert">
      <w:tcPr>
        <w:shd w:val="clear" w:color="auto" w:fill="dbe5f1"/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tcPr>
        <w:tcBorders>
          <w:top w:val="single" w:color="4F81BD" w:sz="4" w:space="0"/>
          <w:left w:val="single" w:color="4F81BD" w:sz="4" w:space="0"/>
          <w:bottom w:val="single" w:color="4F81BD" w:sz="4" w:space="0"/>
          <w:right w:val="single" w:color="4F81BD" w:sz="4" w:space="0"/>
        </w:tcBorders>
        <w:shd w:val="clear" w:color="auto" w:fill="4f81bd"/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F81BD" w:sz="4" w:space="0"/>
        </w:tcBorders>
      </w:tcPr>
    </w:tblStylePr>
  </w:style>
  <w:style w:type="character" w:styleId="1079">
    <w:name w:val="Intense Reference"/>
    <w:uiPriority w:val="32"/>
    <w:qFormat/>
    <w:rPr>
      <w:b/>
      <w:bCs/>
      <w:smallCaps/>
      <w:color w:val="c0504d"/>
      <w:spacing w:val="5"/>
      <w:u w:val="single"/>
    </w:rPr>
  </w:style>
  <w:style w:type="character" w:styleId="1080">
    <w:name w:val="Book Title"/>
    <w:uiPriority w:val="33"/>
    <w:qFormat/>
    <w:rPr>
      <w:b/>
      <w:bCs/>
      <w:smallCaps/>
      <w:spacing w:val="5"/>
    </w:rPr>
  </w:style>
  <w:style w:type="paragraph" w:styleId="1081">
    <w:name w:val="toc 1"/>
    <w:basedOn w:val="864"/>
    <w:uiPriority w:val="39"/>
    <w:unhideWhenUsed/>
    <w:qFormat/>
    <w:pPr>
      <w:widowControl w:val="off"/>
      <w:tabs>
        <w:tab w:val="right" w:pos="9354" w:leader="dot"/>
      </w:tabs>
      <w:spacing w:before="41" w:after="0" w:line="240" w:lineRule="auto"/>
      <w:ind w:left="284"/>
      <w:jc w:val="both"/>
      <w:outlineLvl w:val="0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1082">
    <w:name w:val="toc 2"/>
    <w:basedOn w:val="864"/>
    <w:uiPriority w:val="39"/>
    <w:unhideWhenUsed/>
    <w:qFormat/>
    <w:pPr>
      <w:widowControl w:val="off"/>
      <w:tabs>
        <w:tab w:val="right" w:pos="9354" w:leader="dot"/>
      </w:tabs>
      <w:spacing w:after="0" w:line="240" w:lineRule="auto"/>
      <w:ind w:firstLine="567"/>
      <w:jc w:val="both"/>
    </w:pPr>
    <w:rPr>
      <w:rFonts w:ascii="Times New Roman" w:hAnsi="Times New Roman" w:eastAsia="Arial Unicode MS" w:cs="Times New Roman"/>
      <w:bCs/>
      <w:iCs/>
      <w:sz w:val="24"/>
      <w:szCs w:val="24"/>
      <w:lang w:eastAsia="en-US"/>
    </w:rPr>
  </w:style>
  <w:style w:type="paragraph" w:styleId="1083">
    <w:name w:val="TOC Heading"/>
    <w:basedOn w:val="865"/>
    <w:next w:val="864"/>
    <w:uiPriority w:val="39"/>
    <w:unhideWhenUsed/>
    <w:qFormat/>
    <w:pPr>
      <w:keepLines/>
      <w:spacing w:after="0"/>
      <w:outlineLvl w:val="9"/>
    </w:pPr>
    <w:rPr>
      <w:b w:val="0"/>
      <w:bCs w:val="0"/>
      <w:color w:val="365f91"/>
      <w:lang w:eastAsia="ru-RU"/>
    </w:rPr>
  </w:style>
  <w:style w:type="paragraph" w:styleId="1084">
    <w:name w:val="toc 3"/>
    <w:basedOn w:val="864"/>
    <w:next w:val="864"/>
    <w:uiPriority w:val="39"/>
    <w:unhideWhenUsed/>
    <w:pPr>
      <w:tabs>
        <w:tab w:val="right" w:pos="9344" w:leader="dot"/>
      </w:tabs>
      <w:spacing w:after="100"/>
      <w:ind w:left="440" w:hanging="440"/>
    </w:pPr>
    <w:rPr>
      <w:rFonts w:ascii="Times New Roman" w:hAnsi="Times New Roman" w:eastAsia="Times New Roman" w:cs="Times New Roman"/>
      <w:sz w:val="28"/>
      <w:szCs w:val="28"/>
      <w:lang w:eastAsia="ru-RU"/>
    </w:rPr>
  </w:style>
  <w:style w:type="character" w:styleId="1085" w:customStyle="1">
    <w:name w:val="Заголовок 3 Знак"/>
    <w:link w:val="867"/>
    <w:uiPriority w:val="9"/>
    <w:rPr>
      <w:rFonts w:ascii="Cambria" w:hAnsi="Cambria" w:eastAsia="Times New Roman" w:cs="Times New Roman"/>
      <w:color w:val="243f60"/>
      <w:sz w:val="24"/>
      <w:szCs w:val="24"/>
      <w:lang w:eastAsia="ar-SA"/>
    </w:rPr>
  </w:style>
  <w:style w:type="character" w:styleId="1086" w:customStyle="1">
    <w:name w:val="Заголовок 4 Знак"/>
    <w:link w:val="868"/>
    <w:uiPriority w:val="9"/>
    <w:semiHidden/>
    <w:rPr>
      <w:rFonts w:ascii="Arial" w:hAnsi="Arial" w:eastAsia="Times New Roman" w:cs="Times New Roman"/>
      <w:b/>
      <w:bCs/>
      <w:i/>
      <w:iCs/>
      <w:lang w:val="en-US" w:bidi="en-US"/>
    </w:rPr>
  </w:style>
  <w:style w:type="character" w:styleId="1087" w:customStyle="1">
    <w:name w:val="Заголовок 5 Знак"/>
    <w:link w:val="869"/>
    <w:uiPriority w:val="9"/>
    <w:semiHidden/>
    <w:rPr>
      <w:rFonts w:ascii="Arial" w:hAnsi="Arial" w:eastAsia="Times New Roman" w:cs="Times New Roman"/>
      <w:b/>
      <w:bCs/>
      <w:color w:val="7f7f7f"/>
      <w:lang w:val="en-US" w:bidi="en-US"/>
    </w:rPr>
  </w:style>
  <w:style w:type="character" w:styleId="1088" w:customStyle="1">
    <w:name w:val="Заголовок 6 Знак"/>
    <w:link w:val="870"/>
    <w:uiPriority w:val="9"/>
    <w:semiHidden/>
    <w:rPr>
      <w:rFonts w:ascii="Arial" w:hAnsi="Arial" w:eastAsia="Times New Roman" w:cs="Times New Roman"/>
      <w:b/>
      <w:bCs/>
      <w:i/>
      <w:iCs/>
      <w:color w:val="7f7f7f"/>
      <w:lang w:val="en-US" w:bidi="en-US"/>
    </w:rPr>
  </w:style>
  <w:style w:type="character" w:styleId="1089" w:customStyle="1">
    <w:name w:val="Заголовок 8 Знак"/>
    <w:link w:val="872"/>
    <w:uiPriority w:val="9"/>
    <w:semiHidden/>
    <w:rPr>
      <w:rFonts w:ascii="Arial" w:hAnsi="Arial" w:eastAsia="Times New Roman" w:cs="Times New Roman"/>
      <w:sz w:val="20"/>
      <w:szCs w:val="20"/>
      <w:lang w:val="en-US" w:bidi="en-US"/>
    </w:rPr>
  </w:style>
  <w:style w:type="character" w:styleId="1090" w:customStyle="1">
    <w:name w:val="Заголовок 9 Знак"/>
    <w:link w:val="873"/>
    <w:uiPriority w:val="9"/>
    <w:semiHidden/>
    <w:rPr>
      <w:rFonts w:ascii="Arial" w:hAnsi="Arial" w:eastAsia="Times New Roman" w:cs="Times New Roman"/>
      <w:i/>
      <w:iCs/>
      <w:spacing w:val="5"/>
      <w:sz w:val="20"/>
      <w:szCs w:val="20"/>
      <w:lang w:val="en-US" w:bidi="en-US"/>
    </w:rPr>
  </w:style>
  <w:style w:type="paragraph" w:styleId="1091" w:customStyle="1">
    <w:name w:val="Название1"/>
    <w:basedOn w:val="864"/>
    <w:next w:val="864"/>
    <w:link w:val="1092"/>
    <w:uiPriority w:val="10"/>
    <w:qFormat/>
    <w:pPr>
      <w:pBdr>
        <w:bottom w:val="single" w:color="000000" w:sz="4" w:space="1"/>
      </w:pBdr>
      <w:spacing w:after="200" w:line="240" w:lineRule="auto"/>
      <w:contextualSpacing/>
    </w:pPr>
    <w:rPr>
      <w:rFonts w:ascii="Arial" w:hAnsi="Arial" w:eastAsia="Times New Roman" w:cs="Times New Roman"/>
      <w:spacing w:val="5"/>
      <w:sz w:val="52"/>
      <w:szCs w:val="52"/>
      <w:lang w:val="en-US" w:bidi="en-US"/>
    </w:rPr>
  </w:style>
  <w:style w:type="character" w:styleId="1092" w:customStyle="1">
    <w:name w:val="Название Знак"/>
    <w:link w:val="1091"/>
    <w:uiPriority w:val="10"/>
    <w:rPr>
      <w:rFonts w:ascii="Arial" w:hAnsi="Arial" w:eastAsia="Times New Roman" w:cs="Times New Roman"/>
      <w:spacing w:val="5"/>
      <w:sz w:val="52"/>
      <w:szCs w:val="52"/>
      <w:lang w:val="en-US" w:bidi="en-US"/>
    </w:rPr>
  </w:style>
  <w:style w:type="paragraph" w:styleId="1093">
    <w:name w:val="Subtitle"/>
    <w:basedOn w:val="864"/>
    <w:next w:val="864"/>
    <w:link w:val="1094"/>
    <w:uiPriority w:val="11"/>
    <w:qFormat/>
    <w:pPr>
      <w:spacing w:after="600" w:line="276" w:lineRule="auto"/>
    </w:pPr>
    <w:rPr>
      <w:rFonts w:ascii="Arial" w:hAnsi="Arial" w:eastAsia="Times New Roman" w:cs="Times New Roman"/>
      <w:i/>
      <w:iCs/>
      <w:spacing w:val="13"/>
      <w:sz w:val="24"/>
      <w:szCs w:val="24"/>
      <w:lang w:val="en-US" w:bidi="en-US"/>
    </w:rPr>
  </w:style>
  <w:style w:type="character" w:styleId="1094" w:customStyle="1">
    <w:name w:val="Подзаголовок Знак"/>
    <w:link w:val="1093"/>
    <w:uiPriority w:val="11"/>
    <w:rPr>
      <w:rFonts w:ascii="Arial" w:hAnsi="Arial" w:eastAsia="Times New Roman" w:cs="Times New Roman"/>
      <w:i/>
      <w:iCs/>
      <w:spacing w:val="13"/>
      <w:sz w:val="24"/>
      <w:szCs w:val="24"/>
      <w:lang w:val="en-US" w:bidi="en-US"/>
    </w:rPr>
  </w:style>
  <w:style w:type="paragraph" w:styleId="1095">
    <w:name w:val="Quote"/>
    <w:basedOn w:val="864"/>
    <w:next w:val="864"/>
    <w:link w:val="1096"/>
    <w:uiPriority w:val="29"/>
    <w:qFormat/>
    <w:pPr>
      <w:spacing w:before="200" w:after="0" w:line="276" w:lineRule="auto"/>
      <w:ind w:left="360" w:right="360"/>
    </w:pPr>
    <w:rPr>
      <w:rFonts w:ascii="Times New Roman" w:hAnsi="Times New Roman" w:eastAsia="Times New Roman" w:cs="Times New Roman"/>
      <w:i/>
      <w:iCs/>
      <w:sz w:val="20"/>
      <w:szCs w:val="20"/>
      <w:lang w:val="en-US" w:bidi="en-US"/>
    </w:rPr>
  </w:style>
  <w:style w:type="character" w:styleId="1096" w:customStyle="1">
    <w:name w:val="Цитата 2 Знак"/>
    <w:link w:val="1095"/>
    <w:uiPriority w:val="29"/>
    <w:rPr>
      <w:rFonts w:ascii="Times New Roman" w:hAnsi="Times New Roman" w:eastAsia="Times New Roman" w:cs="Times New Roman"/>
      <w:i/>
      <w:iCs/>
      <w:lang w:val="en-US" w:bidi="en-US"/>
    </w:rPr>
  </w:style>
  <w:style w:type="paragraph" w:styleId="1097">
    <w:name w:val="Intense Quote"/>
    <w:basedOn w:val="864"/>
    <w:next w:val="864"/>
    <w:link w:val="1098"/>
    <w:uiPriority w:val="30"/>
    <w:qFormat/>
    <w:pPr>
      <w:pBdr>
        <w:bottom w:val="single" w:color="000000" w:sz="4" w:space="1"/>
      </w:pBdr>
      <w:spacing w:before="200" w:after="280" w:line="276" w:lineRule="auto"/>
      <w:ind w:left="1008" w:right="1152"/>
      <w:jc w:val="both"/>
    </w:pPr>
    <w:rPr>
      <w:rFonts w:ascii="Times New Roman" w:hAnsi="Times New Roman" w:eastAsia="Times New Roman" w:cs="Times New Roman"/>
      <w:b/>
      <w:bCs/>
      <w:i/>
      <w:iCs/>
      <w:sz w:val="20"/>
      <w:szCs w:val="20"/>
      <w:lang w:val="en-US" w:bidi="en-US"/>
    </w:rPr>
  </w:style>
  <w:style w:type="character" w:styleId="1098" w:customStyle="1">
    <w:name w:val="Выделенная цитата Знак"/>
    <w:link w:val="1097"/>
    <w:uiPriority w:val="30"/>
    <w:rPr>
      <w:rFonts w:ascii="Times New Roman" w:hAnsi="Times New Roman" w:eastAsia="Times New Roman" w:cs="Times New Roman"/>
      <w:b/>
      <w:bCs/>
      <w:i/>
      <w:iCs/>
      <w:lang w:val="en-US" w:bidi="en-US"/>
    </w:rPr>
  </w:style>
  <w:style w:type="character" w:styleId="1099">
    <w:name w:val="Subtle Emphasis"/>
    <w:uiPriority w:val="19"/>
    <w:qFormat/>
    <w:rPr>
      <w:i/>
      <w:iCs/>
    </w:rPr>
  </w:style>
  <w:style w:type="character" w:styleId="1100">
    <w:name w:val="Subtle Reference"/>
    <w:uiPriority w:val="31"/>
    <w:qFormat/>
    <w:rPr>
      <w:smallCaps/>
    </w:rPr>
  </w:style>
  <w:style w:type="character" w:styleId="1101" w:customStyle="1">
    <w:name w:val="apple-converted-space"/>
    <w:basedOn w:val="874"/>
  </w:style>
  <w:style w:type="numbering" w:styleId="1102" w:customStyle="1">
    <w:name w:val="Нет списка111"/>
    <w:next w:val="876"/>
    <w:uiPriority w:val="99"/>
    <w:semiHidden/>
    <w:unhideWhenUsed/>
  </w:style>
  <w:style w:type="paragraph" w:styleId="1103" w:customStyle="1">
    <w:name w:val="Обычный21"/>
    <w:pPr>
      <w:ind w:firstLine="709"/>
    </w:pPr>
    <w:rPr>
      <w:rFonts w:cs="Calibri"/>
      <w:sz w:val="22"/>
      <w:szCs w:val="22"/>
    </w:rPr>
  </w:style>
  <w:style w:type="table" w:styleId="1104" w:customStyle="1">
    <w:name w:val="Сетка таблицы1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05" w:customStyle="1">
    <w:name w:val="Сетка таблицы2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06" w:customStyle="1">
    <w:name w:val="Сетка таблицы3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07" w:customStyle="1">
    <w:name w:val="Сетка таблицы4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08">
    <w:name w:val="toc 4"/>
    <w:basedOn w:val="864"/>
    <w:next w:val="864"/>
    <w:uiPriority w:val="39"/>
    <w:unhideWhenUsed/>
    <w:pPr>
      <w:spacing w:after="100"/>
      <w:ind w:left="660"/>
    </w:pPr>
    <w:rPr>
      <w:rFonts w:eastAsia="Times New Roman" w:cs="Times New Roman"/>
      <w:lang w:eastAsia="ru-RU"/>
    </w:rPr>
  </w:style>
  <w:style w:type="paragraph" w:styleId="1109">
    <w:name w:val="toc 5"/>
    <w:basedOn w:val="864"/>
    <w:next w:val="864"/>
    <w:uiPriority w:val="39"/>
    <w:unhideWhenUsed/>
    <w:pPr>
      <w:spacing w:after="100"/>
      <w:ind w:left="880"/>
    </w:pPr>
    <w:rPr>
      <w:rFonts w:eastAsia="Times New Roman" w:cs="Times New Roman"/>
      <w:lang w:eastAsia="ru-RU"/>
    </w:rPr>
  </w:style>
  <w:style w:type="paragraph" w:styleId="1110">
    <w:name w:val="toc 6"/>
    <w:basedOn w:val="864"/>
    <w:next w:val="864"/>
    <w:uiPriority w:val="39"/>
    <w:unhideWhenUsed/>
    <w:pPr>
      <w:spacing w:after="100"/>
      <w:ind w:left="1100"/>
    </w:pPr>
    <w:rPr>
      <w:rFonts w:eastAsia="Times New Roman" w:cs="Times New Roman"/>
      <w:lang w:eastAsia="ru-RU"/>
    </w:rPr>
  </w:style>
  <w:style w:type="paragraph" w:styleId="1111">
    <w:name w:val="toc 7"/>
    <w:basedOn w:val="864"/>
    <w:next w:val="864"/>
    <w:uiPriority w:val="39"/>
    <w:unhideWhenUsed/>
    <w:pPr>
      <w:spacing w:after="100"/>
      <w:ind w:left="1320"/>
    </w:pPr>
    <w:rPr>
      <w:rFonts w:eastAsia="Times New Roman" w:cs="Times New Roman"/>
      <w:lang w:eastAsia="ru-RU"/>
    </w:rPr>
  </w:style>
  <w:style w:type="paragraph" w:styleId="1112">
    <w:name w:val="toc 8"/>
    <w:basedOn w:val="864"/>
    <w:next w:val="864"/>
    <w:uiPriority w:val="39"/>
    <w:unhideWhenUsed/>
    <w:pPr>
      <w:spacing w:after="100"/>
      <w:ind w:left="1540"/>
    </w:pPr>
    <w:rPr>
      <w:rFonts w:eastAsia="Times New Roman" w:cs="Times New Roman"/>
      <w:lang w:eastAsia="ru-RU"/>
    </w:rPr>
  </w:style>
  <w:style w:type="paragraph" w:styleId="1113">
    <w:name w:val="toc 9"/>
    <w:basedOn w:val="864"/>
    <w:next w:val="864"/>
    <w:uiPriority w:val="39"/>
    <w:unhideWhenUsed/>
    <w:pPr>
      <w:spacing w:after="100"/>
      <w:ind w:left="1760"/>
    </w:pPr>
    <w:rPr>
      <w:rFonts w:eastAsia="Times New Roman" w:cs="Times New Roman"/>
      <w:lang w:eastAsia="ru-RU"/>
    </w:rPr>
  </w:style>
  <w:style w:type="character" w:styleId="1114">
    <w:name w:val="annotation reference"/>
    <w:uiPriority w:val="99"/>
    <w:semiHidden/>
    <w:unhideWhenUsed/>
    <w:rPr>
      <w:sz w:val="16"/>
      <w:szCs w:val="16"/>
    </w:rPr>
  </w:style>
  <w:style w:type="paragraph" w:styleId="1115">
    <w:name w:val="annotation text"/>
    <w:basedOn w:val="864"/>
    <w:link w:val="1116"/>
    <w:uiPriority w:val="99"/>
    <w:unhideWhenUsed/>
    <w:pPr>
      <w:spacing w:line="240" w:lineRule="auto"/>
    </w:pPr>
    <w:rPr>
      <w:rFonts w:eastAsia="Calibri" w:cs="Times New Roman"/>
      <w:sz w:val="20"/>
      <w:szCs w:val="20"/>
      <w:lang w:eastAsia="en-US"/>
    </w:rPr>
  </w:style>
  <w:style w:type="character" w:styleId="1116" w:customStyle="1">
    <w:name w:val="Текст примечания Знак"/>
    <w:link w:val="1115"/>
    <w:uiPriority w:val="99"/>
    <w:rPr>
      <w:lang w:eastAsia="en-US"/>
    </w:rPr>
  </w:style>
  <w:style w:type="paragraph" w:styleId="1117" w:customStyle="1">
    <w:name w:val="Основной текст (2)"/>
    <w:basedOn w:val="864"/>
    <w:link w:val="1118"/>
    <w:pPr>
      <w:widowControl w:val="off"/>
      <w:shd w:val="clear" w:color="auto" w:fill="ffffff"/>
      <w:spacing w:before="420" w:after="0" w:line="320" w:lineRule="exact"/>
      <w:jc w:val="both"/>
    </w:pPr>
    <w:rPr>
      <w:rFonts w:eastAsia="Calibri" w:cs="Times New Roman"/>
      <w:sz w:val="26"/>
      <w:szCs w:val="20"/>
      <w:shd w:val="clear" w:color="auto" w:fill="ffffff"/>
    </w:rPr>
  </w:style>
  <w:style w:type="character" w:styleId="1118" w:customStyle="1">
    <w:name w:val="Основной текст (2)_"/>
    <w:link w:val="1117"/>
    <w:rPr>
      <w:sz w:val="26"/>
      <w:shd w:val="clear" w:color="auto" w:fill="ffffff"/>
    </w:rPr>
  </w:style>
  <w:style w:type="paragraph" w:styleId="1119" w:customStyle="1">
    <w:name w:val="Основной текст (3)"/>
    <w:basedOn w:val="864"/>
    <w:link w:val="1120"/>
    <w:pPr>
      <w:widowControl w:val="off"/>
      <w:shd w:val="clear" w:color="auto" w:fill="ffffff"/>
      <w:spacing w:before="840" w:after="60" w:line="0" w:lineRule="atLeast"/>
    </w:pPr>
    <w:rPr>
      <w:rFonts w:ascii="Times New Roman" w:hAnsi="Times New Roman" w:eastAsia="Times New Roman" w:cs="Times New Roman"/>
      <w:b/>
      <w:bCs/>
      <w:sz w:val="30"/>
      <w:szCs w:val="30"/>
    </w:rPr>
  </w:style>
  <w:style w:type="character" w:styleId="1120" w:customStyle="1">
    <w:name w:val="Основной текст (3)_"/>
    <w:link w:val="1119"/>
    <w:rPr>
      <w:rFonts w:ascii="Times New Roman" w:hAnsi="Times New Roman" w:eastAsia="Times New Roman"/>
      <w:b/>
      <w:bCs/>
      <w:sz w:val="30"/>
      <w:szCs w:val="30"/>
      <w:shd w:val="clear" w:color="auto" w:fill="ffffff"/>
    </w:rPr>
  </w:style>
  <w:style w:type="character" w:styleId="1121" w:customStyle="1">
    <w:name w:val="Основной текст (2) + 7;5 pt"/>
    <w:rPr>
      <w:rFonts w:ascii="Times New Roman" w:hAnsi="Times New Roman" w:eastAsia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styleId="1122" w:customStyle="1">
    <w:name w:val="Основной текст (2) + Consolas;6 pt;Интервал 0 pt"/>
    <w:rPr>
      <w:rFonts w:ascii="Consolas" w:hAnsi="Consolas" w:eastAsia="Consolas" w:cs="Consolas"/>
      <w:b w:val="0"/>
      <w:bCs w:val="0"/>
      <w:i w:val="0"/>
      <w:iCs w:val="0"/>
      <w:smallCaps w:val="0"/>
      <w:strike w:val="0"/>
      <w:color w:val="000000"/>
      <w:spacing w:val="-1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styleId="1123" w:customStyle="1">
    <w:name w:val="Основной текст (2) + 5;5 pt"/>
    <w:rPr>
      <w:rFonts w:ascii="Times New Roman" w:hAnsi="Times New Roman" w:eastAsia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11"/>
      <w:szCs w:val="11"/>
      <w:u w:val="none"/>
      <w:shd w:val="clear" w:color="auto" w:fill="ffffff"/>
      <w:lang w:val="ru-RU" w:eastAsia="ru-RU" w:bidi="ru-RU"/>
    </w:rPr>
  </w:style>
  <w:style w:type="table" w:styleId="1124" w:customStyle="1">
    <w:name w:val="Таблица-сетка 4 — акцент 121"/>
    <w:basedOn w:val="875"/>
    <w:uiPriority w:val="49"/>
    <w:tblPr>
      <w:tblStyleRowBandSize w:val="1"/>
      <w:tblStyleColBandSize w:val="1"/>
      <w:tblBorders>
        <w:top w:val="single" w:color="95B3D7" w:sz="4" w:space="0"/>
        <w:left w:val="single" w:color="95B3D7" w:sz="4" w:space="0"/>
        <w:bottom w:val="single" w:color="95B3D7" w:sz="4" w:space="0"/>
        <w:right w:val="single" w:color="95B3D7" w:sz="4" w:space="0"/>
        <w:insideH w:val="single" w:color="95B3D7" w:sz="4" w:space="0"/>
        <w:insideV w:val="single" w:color="95B3D7" w:sz="4" w:space="0"/>
      </w:tblBorders>
    </w:tblPr>
    <w:tblStylePr w:type="band1Horz">
      <w:tcPr>
        <w:shd w:val="clear" w:color="auto" w:fill="dbe5f1"/>
      </w:tcPr>
    </w:tblStylePr>
    <w:tblStylePr w:type="band1Vert">
      <w:tcPr>
        <w:shd w:val="clear" w:color="auto" w:fill="dbe5f1"/>
      </w:tcPr>
    </w:tblStylePr>
    <w:tblStylePr w:type="firstCol">
      <w:rPr>
        <w:b/>
        <w:bCs/>
      </w:rPr>
    </w:tblStylePr>
    <w:tblStylePr w:type="firstRow">
      <w:rPr>
        <w:b/>
        <w:bCs/>
        <w:color w:val="ffffff"/>
      </w:rPr>
      <w:tcPr>
        <w:tcBorders>
          <w:top w:val="single" w:color="4F81BD" w:sz="4" w:space="0"/>
          <w:left w:val="single" w:color="4F81BD" w:sz="4" w:space="0"/>
          <w:bottom w:val="single" w:color="4F81BD" w:sz="4" w:space="0"/>
          <w:right w:val="single" w:color="4F81BD" w:sz="4" w:space="0"/>
        </w:tcBorders>
        <w:shd w:val="clear" w:color="auto" w:fill="4f81bd"/>
      </w:tcPr>
    </w:tblStylePr>
    <w:tblStylePr w:type="lastCol">
      <w:rPr>
        <w:b/>
        <w:bCs/>
      </w:rPr>
    </w:tblStylePr>
    <w:tblStylePr w:type="lastRow">
      <w:rPr>
        <w:b/>
        <w:bCs/>
      </w:rPr>
      <w:tcPr>
        <w:tcBorders>
          <w:top w:val="single" w:color="4F81BD" w:sz="4" w:space="0"/>
        </w:tcBorders>
      </w:tcPr>
    </w:tblStylePr>
  </w:style>
  <w:style w:type="numbering" w:styleId="1125" w:customStyle="1">
    <w:name w:val="Нет списка1111"/>
    <w:next w:val="876"/>
    <w:uiPriority w:val="99"/>
    <w:semiHidden/>
    <w:unhideWhenUsed/>
  </w:style>
  <w:style w:type="table" w:styleId="1126" w:customStyle="1">
    <w:name w:val="Сетка таблицы5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27" w:customStyle="1">
    <w:name w:val="Сетка таблицы6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1128" w:customStyle="1">
    <w:name w:val="Заголовок Знак"/>
    <w:uiPriority w:val="10"/>
    <w:rPr>
      <w:rFonts w:ascii="Calibri Light" w:hAnsi="Calibri Light" w:eastAsia="Times New Roman" w:cs="Times New Roman"/>
      <w:spacing w:val="-10"/>
      <w:sz w:val="56"/>
      <w:szCs w:val="56"/>
    </w:rPr>
  </w:style>
  <w:style w:type="table" w:styleId="1129" w:customStyle="1">
    <w:name w:val="Table Normal"/>
    <w:uiPriority w:val="2"/>
    <w:semiHidden/>
    <w:unhideWhenUsed/>
    <w:qFormat/>
    <w:pPr>
      <w:widowControl w:val="off"/>
    </w:pPr>
    <w:rPr>
      <w:sz w:val="22"/>
      <w:szCs w:val="22"/>
      <w:lang w:val="en-US" w:eastAsia="en-US"/>
    </w:rPr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30" w:customStyle="1">
    <w:name w:val="Table Paragraph"/>
    <w:basedOn w:val="864"/>
    <w:uiPriority w:val="1"/>
    <w:qFormat/>
    <w:pPr>
      <w:widowControl w:val="off"/>
      <w:spacing w:after="0" w:line="240" w:lineRule="auto"/>
    </w:pPr>
    <w:rPr>
      <w:rFonts w:ascii="Times New Roman" w:hAnsi="Times New Roman" w:eastAsia="Times New Roman" w:cs="Times New Roman"/>
      <w:lang w:eastAsia="en-US"/>
    </w:rPr>
  </w:style>
  <w:style w:type="paragraph" w:styleId="1131" w:customStyle="1">
    <w:name w:val="AOTitle"/>
    <w:basedOn w:val="864"/>
    <w:next w:val="864"/>
    <w:pPr>
      <w:spacing w:before="240" w:after="0" w:line="260" w:lineRule="atLeast"/>
      <w:jc w:val="center"/>
    </w:pPr>
    <w:rPr>
      <w:rFonts w:ascii="Times New Roman" w:hAnsi="Times New Roman" w:cs="Times New Roman"/>
      <w:b/>
      <w:caps/>
      <w:lang w:val="en-GB" w:eastAsia="en-US"/>
    </w:rPr>
  </w:style>
  <w:style w:type="character" w:styleId="1132" w:customStyle="1">
    <w:name w:val="Основной текст_"/>
    <w:link w:val="1133"/>
    <w:rPr>
      <w:rFonts w:ascii="Times New Roman" w:hAnsi="Times New Roman" w:eastAsia="Times New Roman"/>
      <w:spacing w:val="2"/>
      <w:shd w:val="clear" w:color="auto" w:fill="ffffff"/>
    </w:rPr>
  </w:style>
  <w:style w:type="paragraph" w:styleId="1133" w:customStyle="1">
    <w:name w:val="Основной текст2"/>
    <w:basedOn w:val="864"/>
    <w:link w:val="1132"/>
    <w:pPr>
      <w:widowControl w:val="off"/>
      <w:shd w:val="clear" w:color="auto" w:fill="ffffff"/>
      <w:spacing w:before="300" w:after="300" w:line="0" w:lineRule="atLeast"/>
      <w:jc w:val="both"/>
    </w:pPr>
    <w:rPr>
      <w:rFonts w:ascii="Times New Roman" w:hAnsi="Times New Roman" w:eastAsia="Times New Roman" w:cs="Times New Roman"/>
      <w:spacing w:val="2"/>
      <w:sz w:val="20"/>
      <w:szCs w:val="20"/>
      <w:lang w:eastAsia="ru-RU"/>
    </w:rPr>
  </w:style>
  <w:style w:type="paragraph" w:styleId="1134">
    <w:name w:val="annotation subject"/>
    <w:basedOn w:val="1115"/>
    <w:next w:val="1115"/>
    <w:link w:val="1135"/>
    <w:uiPriority w:val="99"/>
    <w:semiHidden/>
    <w:unhideWhenUsed/>
    <w:pPr>
      <w:spacing w:line="259" w:lineRule="auto"/>
    </w:pPr>
    <w:rPr>
      <w:rFonts w:eastAsia="SimSun" w:cs="font405"/>
      <w:b/>
      <w:bCs/>
      <w:lang w:eastAsia="ar-SA"/>
    </w:rPr>
  </w:style>
  <w:style w:type="character" w:styleId="1135" w:customStyle="1">
    <w:name w:val="Тема примечания Знак"/>
    <w:link w:val="1134"/>
    <w:uiPriority w:val="99"/>
    <w:semiHidden/>
    <w:rPr>
      <w:rFonts w:eastAsia="SimSun" w:cs="font405"/>
      <w:b/>
      <w:bCs/>
      <w:lang w:eastAsia="ar-SA"/>
    </w:rPr>
  </w:style>
  <w:style w:type="character" w:styleId="1136" w:customStyle="1">
    <w:name w:val="search_result"/>
  </w:style>
  <w:style w:type="paragraph" w:styleId="1137">
    <w:name w:val="Revision"/>
    <w:hidden/>
    <w:uiPriority w:val="99"/>
    <w:semiHidden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1138" w:customStyle="1">
    <w:name w:val="Содержимое таблицы"/>
    <w:basedOn w:val="864"/>
    <w:qFormat/>
    <w:pPr>
      <w:widowControl w:val="off"/>
      <w:suppressLineNumbers/>
      <w:spacing w:after="0" w:line="240" w:lineRule="auto"/>
    </w:pPr>
    <w:rPr>
      <w:rFonts w:ascii="Liberation Serif" w:hAnsi="Liberation Serif" w:eastAsia="Liberation Serif" w:cs="Liberation Serif"/>
      <w:sz w:val="24"/>
      <w:szCs w:val="24"/>
      <w:lang w:eastAsia="ru-RU"/>
    </w:rPr>
  </w:style>
  <w:style w:type="character" w:styleId="1139" w:customStyle="1">
    <w:name w:val="Привязка сноски"/>
    <w:rPr>
      <w:vertAlign w:val="superscript"/>
    </w:rPr>
  </w:style>
  <w:style w:type="character" w:styleId="1140" w:customStyle="1">
    <w:name w:val="Символ сноски"/>
    <w:qFormat/>
    <w:rPr>
      <w:vertAlign w:val="superscript"/>
    </w:rPr>
  </w:style>
  <w:style w:type="paragraph" w:styleId="1141">
    <w:name w:val="Caption"/>
    <w:basedOn w:val="864"/>
    <w:next w:val="864"/>
    <w:link w:val="896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1142" w:customStyle="1">
    <w:name w:val="Неразрешенное упоминание1"/>
    <w:basedOn w:val="874"/>
    <w:uiPriority w:val="99"/>
    <w:semiHidden/>
    <w:unhideWhenUsed/>
    <w:rPr>
      <w:color w:val="605e5c"/>
      <w:shd w:val="clear" w:color="auto" w:fill="e1dfdd"/>
    </w:rPr>
  </w:style>
  <w:style w:type="table" w:styleId="1143" w:customStyle="1">
    <w:name w:val="Сетка таблицы7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1144" w:customStyle="1">
    <w:name w:val="Сетка таблицы8"/>
    <w:basedOn w:val="875"/>
    <w:next w:val="1033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1145" w:customStyle="1">
    <w:name w:val="Основной текст3"/>
    <w:basedOn w:val="864"/>
    <w:pPr>
      <w:shd w:val="clear" w:color="auto" w:fill="ffffff"/>
      <w:spacing w:before="360" w:after="0" w:line="494" w:lineRule="exact"/>
    </w:pPr>
    <w:rPr>
      <w:rFonts w:asciiTheme="minorHAnsi" w:hAnsiTheme="minorHAnsi" w:eastAsiaTheme="minorHAnsi" w:cstheme="minorBidi"/>
      <w:sz w:val="26"/>
      <w:szCs w:val="26"/>
      <w:lang w:eastAsia="en-US"/>
    </w:rPr>
  </w:style>
  <w:style w:type="paragraph" w:styleId="1146" w:customStyle="1">
    <w:name w:val="Обычный3"/>
    <w:qFormat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eastAsia="Times New Roman" w:cs="Calibri"/>
      <w:color w:val="000000"/>
      <w:lang w:eastAsia="zh-CN"/>
    </w:rPr>
  </w:style>
  <w:style w:type="character" w:styleId="1147" w:customStyle="1">
    <w:name w:val="Основной шрифт абзаца1"/>
    <w:qFormat/>
    <w:rPr>
      <w:rFonts w:ascii="Calibri" w:hAnsi="Calibri" w:cs="Calibri"/>
      <w:b w:val="0"/>
      <w:i w:val="0"/>
      <w:caps w:val="0"/>
      <w:smallCaps w:val="0"/>
      <w:strike w:val="0"/>
      <w:color w:val="000000"/>
      <w:spacing w:val="0"/>
      <w:position w:val="0"/>
      <w:sz w:val="20"/>
      <w:u w:val="none"/>
      <w:lang w:val="ru-RU"/>
    </w:rPr>
  </w:style>
  <w:style w:type="paragraph" w:styleId="1148" w:customStyle="1">
    <w:name w:val="Текст сноски2"/>
    <w:qFormat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eastAsia="Times New Roman" w:cs="Calibri"/>
      <w:color w:val="000000"/>
      <w:sz w:val="18"/>
      <w:lang w:eastAsia="zh-CN"/>
    </w:rPr>
  </w:style>
  <w:style w:type="character" w:styleId="1149" w:customStyle="1">
    <w:name w:val="Знак сноски1"/>
    <w:qFormat/>
    <w:rPr>
      <w:rFonts w:ascii="Calibri" w:hAnsi="Calibri" w:cs="Calibri"/>
      <w:b w:val="0"/>
      <w:i w:val="0"/>
      <w:caps w:val="0"/>
      <w:smallCaps w:val="0"/>
      <w:strike w:val="0"/>
      <w:color w:val="000000"/>
      <w:spacing w:val="0"/>
      <w:position w:val="0"/>
      <w:sz w:val="20"/>
      <w:u w:val="none"/>
      <w:vertAlign w:val="superscript"/>
      <w:lang w:val="ru-RU"/>
    </w:rPr>
  </w:style>
  <w:style w:type="paragraph" w:styleId="1150" w:customStyle="1">
    <w:name w:val="Основной текст1"/>
    <w:uiPriority w:val="1"/>
    <w:qFormat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sz w:val="28"/>
      <w:szCs w:val="28"/>
      <w:lang w:eastAsia="en-US"/>
    </w:rPr>
  </w:style>
  <w:style w:type="paragraph" w:styleId="1151" w:customStyle="1">
    <w:name w:val="Standard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Liberation Serif" w:hAnsi="Liberation Serif" w:eastAsia="Droid Sans Fallback" w:cs="Droid Sans Devanagari"/>
      <w:sz w:val="24"/>
      <w:szCs w:val="24"/>
      <w:lang w:eastAsia="zh-CN" w:bidi="hi-IN"/>
    </w:rPr>
  </w:style>
  <w:style w:type="paragraph" w:styleId="1152" w:customStyle="1">
    <w:name w:val="docdata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1153" w:customStyle="1">
    <w:name w:val="Обычный (веб)1"/>
    <w:uiPriority w:val="99"/>
    <w:semiHidden/>
    <w:unhideWhenUsed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1154" w:customStyle="1">
    <w:name w:val="futurismarkdown-listitem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before="100" w:beforeAutospacing="1" w:after="100" w:afterAutospacing="1"/>
    </w:pPr>
    <w:rPr>
      <w:rFonts w:ascii="Times New Roman" w:hAnsi="Times New Roman" w:eastAsia="Times New Roman"/>
      <w:sz w:val="24"/>
      <w:szCs w:val="24"/>
    </w:rPr>
  </w:style>
  <w:style w:type="paragraph" w:styleId="1155" w:customStyle="1">
    <w:name w:val="Основной текст с отступом1"/>
    <w:semiHidden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ind w:firstLine="454"/>
      <w:jc w:val="both"/>
    </w:pPr>
    <w:rPr>
      <w:rFonts w:ascii="Times New Roman" w:hAnsi="Times New Roman" w:eastAsia="Times New Roman"/>
      <w:sz w:val="24"/>
      <w:lang w:val="en-US"/>
    </w:rPr>
  </w:style>
  <w:style w:type="paragraph" w:styleId="1156" w:customStyle="1">
    <w:name w:val="Абзац списка;Абзац списка11;ПАРАГРАФ;Абзац списка для документа;List_Paragraph;Multilevel para_II;А;List Paragraph1;Список Нумерованный;Абзац списка основной;Текст с номером;Варианты ответов;Тема;List Paragraph"/>
    <w:qFormat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styleId="1157" w:customStyle="1">
    <w:name w:val="Основной текст 31"/>
    <w:link w:val="880"/>
    <w:uiPriority w:val="99"/>
    <w:semiHidden/>
    <w:unhideWhenUsed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120" w:line="259" w:lineRule="auto"/>
    </w:pPr>
    <w:rPr>
      <w:rFonts w:eastAsia="SimSun" w:cs="font405"/>
      <w:sz w:val="16"/>
      <w:szCs w:val="16"/>
      <w:lang w:eastAsia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customXml" Target="../customXml/item1.xml" /><Relationship Id="rId14" Type="http://schemas.openxmlformats.org/officeDocument/2006/relationships/image" Target="media/image1.emf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chart" Target="charts/chart1.xml" /><Relationship Id="rId18" Type="http://schemas.openxmlformats.org/officeDocument/2006/relationships/image" Target="media/image4.jpg"/><Relationship Id="rId19" Type="http://schemas.openxmlformats.org/officeDocument/2006/relationships/image" Target="media/image5.jpg"/><Relationship Id="rId20" Type="http://schemas.openxmlformats.org/officeDocument/2006/relationships/image" Target="media/image6.jpg"/><Relationship Id="rId21" Type="http://schemas.openxmlformats.org/officeDocument/2006/relationships/image" Target="media/image7.jpg"/><Relationship Id="rId22" Type="http://schemas.openxmlformats.org/officeDocument/2006/relationships/image" Target="media/image8.jpg"/><Relationship Id="rId23" Type="http://schemas.openxmlformats.org/officeDocument/2006/relationships/image" Target="media/image9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charts/_rels/chart1.xml.rels><?xml version="1.0" encoding="UTF-8" standalone="yes"?><Relationships xmlns="http://schemas.openxmlformats.org/package/2006/relationships"><Relationship Id="rId1" Type="http://schemas.openxmlformats.org/officeDocument/2006/relationships/package" Target="../embeddings/Microsoft_Excel_Worksheet1.xlsx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mc="http://schemas.openxmlformats.org/markup-compatibility/2006" xmlns:c15="http://schemas.microsoft.com/office/drawing/2012/chart" xmlns:c14="http://schemas.microsoft.com/office/drawing/2007/8/2/chart" xmlns:c16r2="http://schemas.microsoft.com/office/drawing/2015/06/chart">
  <c:date1904 val="0"/>
  <c:lang val="ru-RU"/>
  <c:roundedCorners val="0"/>
  <mc:AlternateContent>
    <mc:Choice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7293"/>
          <c:y val="0.143646"/>
          <c:w val="0.422405"/>
          <c:h val="0.713275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 xml:space="preserve">2024 год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dLbl>
              <c:idx val="7"/>
              <c:layout>
                <c:manualLayout>
                  <c:x val="0.038446"/>
                  <c:y val="-0.07876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Лист1!$A$2:$A$13</c:f>
              <c:strCache>
                <c:ptCount val="12"/>
                <c:pt idx="0">
                  <c:v xml:space="preserve">Численность постоянного населения</c:v>
                </c:pt>
                <c:pt idx="1">
                  <c:v xml:space="preserve">Ожидаемая продолжительность жизни</c:v>
                </c:pt>
                <c:pt idx="2">
                  <c:v xml:space="preserve">Количество семей, улучшивших жилищные условия</c:v>
                </c:pt>
                <c:pt idx="3">
                  <c:v xml:space="preserve">Реальная начисленная заработная плата</c:v>
                </c:pt>
                <c:pt idx="4">
                  <c:v xml:space="preserve"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 xml:space="preserve">Численность занятых в сфере МСП</c:v>
                </c:pt>
                <c:pt idx="7">
                  <c:v>ВРП</c:v>
                </c:pt>
                <c:pt idx="8">
                  <c:v xml:space="preserve">Производительность труда</c:v>
                </c:pt>
                <c:pt idx="9">
                  <c:v xml:space="preserve">Валовая продукция сельского хозяйства</c:v>
                </c:pt>
                <c:pt idx="10">
                  <c:v xml:space="preserve">Бюджетная обеспеченность на душу населения</c:v>
                </c:pt>
                <c:pt idx="11">
                  <c:v xml:space="preserve">Оборот потребительского рынка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 xml:space="preserve">Консервативный сценарий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 xml:space="preserve">Численность постоянного населения</c:v>
                </c:pt>
                <c:pt idx="1">
                  <c:v xml:space="preserve">Ожидаемая продолжительность жизни</c:v>
                </c:pt>
                <c:pt idx="2">
                  <c:v xml:space="preserve">Количество семей, улучшивших жилищные условия</c:v>
                </c:pt>
                <c:pt idx="3">
                  <c:v xml:space="preserve">Реальная начисленная заработная плата</c:v>
                </c:pt>
                <c:pt idx="4">
                  <c:v xml:space="preserve"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 xml:space="preserve">Численность занятых в сфере МСП</c:v>
                </c:pt>
                <c:pt idx="7">
                  <c:v>ВРП</c:v>
                </c:pt>
                <c:pt idx="8">
                  <c:v xml:space="preserve">Производительность труда</c:v>
                </c:pt>
                <c:pt idx="9">
                  <c:v xml:space="preserve">Валовая продукция сельского хозяйства</c:v>
                </c:pt>
                <c:pt idx="10">
                  <c:v xml:space="preserve">Бюджетная обеспеченность на душу населения</c:v>
                </c:pt>
                <c:pt idx="11">
                  <c:v xml:space="preserve">Оборот потребительского рынка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92.6</c:v>
                </c:pt>
                <c:pt idx="1">
                  <c:v>111.9</c:v>
                </c:pt>
                <c:pt idx="2">
                  <c:v>158.5</c:v>
                </c:pt>
                <c:pt idx="3">
                  <c:v>128.7</c:v>
                </c:pt>
                <c:pt idx="4">
                  <c:v>125.9</c:v>
                </c:pt>
                <c:pt idx="5">
                  <c:v>112.5</c:v>
                </c:pt>
                <c:pt idx="6">
                  <c:v>105.1</c:v>
                </c:pt>
                <c:pt idx="7">
                  <c:v>142.1</c:v>
                </c:pt>
                <c:pt idx="8">
                  <c:v>136.6</c:v>
                </c:pt>
                <c:pt idx="9">
                  <c:v>110.6</c:v>
                </c:pt>
                <c:pt idx="10">
                  <c:v>110.9</c:v>
                </c:pt>
                <c:pt idx="11" formatCode="0.0">
                  <c:v>136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 xml:space="preserve">Базовый  сценарий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Лист1!$A$2:$A$13</c:f>
              <c:strCache>
                <c:ptCount val="12"/>
                <c:pt idx="0">
                  <c:v xml:space="preserve">Численность постоянного населения</c:v>
                </c:pt>
                <c:pt idx="1">
                  <c:v xml:space="preserve">Ожидаемая продолжительность жизни</c:v>
                </c:pt>
                <c:pt idx="2">
                  <c:v xml:space="preserve">Количество семей, улучшивших жилищные условия</c:v>
                </c:pt>
                <c:pt idx="3">
                  <c:v xml:space="preserve">Реальная начисленная заработная плата</c:v>
                </c:pt>
                <c:pt idx="4">
                  <c:v xml:space="preserve"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 xml:space="preserve">Численность занятых в сфере МСП</c:v>
                </c:pt>
                <c:pt idx="7">
                  <c:v>ВРП</c:v>
                </c:pt>
                <c:pt idx="8">
                  <c:v xml:space="preserve">Производительность труда</c:v>
                </c:pt>
                <c:pt idx="9">
                  <c:v xml:space="preserve">Валовая продукция сельского хозяйства</c:v>
                </c:pt>
                <c:pt idx="10">
                  <c:v xml:space="preserve">Бюджетная обеспеченность на душу населения</c:v>
                </c:pt>
                <c:pt idx="11">
                  <c:v xml:space="preserve">Оборот потребительского рынка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95</c:v>
                </c:pt>
                <c:pt idx="1">
                  <c:v>115.8</c:v>
                </c:pt>
                <c:pt idx="2">
                  <c:v>166</c:v>
                </c:pt>
                <c:pt idx="3">
                  <c:v>141.8</c:v>
                </c:pt>
                <c:pt idx="4">
                  <c:v>137</c:v>
                </c:pt>
                <c:pt idx="5">
                  <c:v>138</c:v>
                </c:pt>
                <c:pt idx="6">
                  <c:v>102.1</c:v>
                </c:pt>
                <c:pt idx="7">
                  <c:v>172.8</c:v>
                </c:pt>
                <c:pt idx="8">
                  <c:v>153.7</c:v>
                </c:pt>
                <c:pt idx="9">
                  <c:v>126.6</c:v>
                </c:pt>
                <c:pt idx="10">
                  <c:v>152.2</c:v>
                </c:pt>
                <c:pt idx="11">
                  <c:v>178.8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 xml:space="preserve">Целевой сценарий</c:v>
                </c:pt>
              </c:strCache>
            </c:strRef>
          </c:tx>
          <c:spPr bwMode="auto">
            <a:prstGeom prst="rect">
              <a:avLst/>
            </a:prstGeom>
            <a:ln w="28575" cap="rnd">
              <a:solidFill>
                <a:srgbClr val="00B050"/>
              </a:solidFill>
              <a:prstDash val="sysDash"/>
              <a:round/>
            </a:ln>
            <a:effectLst/>
          </c:spPr>
          <c:marker>
            <c:symbol val="none"/>
          </c:marker>
          <c:dLbls>
            <c:dLbl>
              <c:idx val="0"/>
              <c:layout>
                <c:manualLayout>
                  <c:x val="0.005303"/>
                  <c:y val="-0.00351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"/>
              <c:layout>
                <c:manualLayout>
                  <c:x val="0.019886"/>
                  <c:y val="0.00542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2"/>
              <c:layout>
                <c:manualLayout>
                  <c:x val="0.013257"/>
                  <c:y val="0.00271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3"/>
              <c:layout>
                <c:manualLayout>
                  <c:x val="-0.026515"/>
                  <c:y val="-0.058025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4"/>
              <c:layout>
                <c:manualLayout>
                  <c:x val="-0.013257"/>
                  <c:y val="0.03257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5"/>
              <c:layout>
                <c:manualLayout>
                  <c:x val="0.049052"/>
                  <c:y val="0.029859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6"/>
              <c:layout>
                <c:manualLayout>
                  <c:x val="0.001326"/>
                  <c:y val="-0.01900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7"/>
              <c:layout>
                <c:manualLayout>
                  <c:x val="-0.007913"/>
                  <c:y val="-0.008936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8"/>
              <c:layout>
                <c:manualLayout>
                  <c:x val="0.003610"/>
                  <c:y val="0.023963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9"/>
              <c:layout/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0"/>
              <c:layout>
                <c:manualLayout>
                  <c:x val="-0.010414"/>
                  <c:y val="0.034594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dLbl>
              <c:idx val="11"/>
              <c:layout>
                <c:manualLayout>
                  <c:x val="-0.010429"/>
                  <c:y val="0.035561"/>
                </c:manualLayout>
              </c:layout>
              <c:showBubbleSize val="0"/>
              <c:showCatName val="0"/>
              <c:showLegendKey val="0"/>
              <c:showPercent val="0"/>
              <c:showSerName val="0"/>
              <c:showVal val="1"/>
            </c:dLbl>
            <c:showBubbleSize val="0"/>
            <c:showCatName val="0"/>
            <c:showLeaderLines val="0"/>
            <c:showLegendKey val="0"/>
            <c:showPercent val="0"/>
            <c:showSerName val="0"/>
            <c:showVal val="0"/>
            <c:spPr bwMode="auto">
              <a:prstGeom prst="rect">
                <a:avLst/>
              </a:prstGeom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>
                    <a:solidFill>
                      <a:sysClr val="windowText" lastClr="000000"/>
                    </a:solidFill>
                    <a:latin typeface="Times New Roman"/>
                    <a:ea typeface="+mn-ea"/>
                    <a:cs typeface="Times New Roman"/>
                  </a:defRPr>
                </a:pPr>
                <a:endParaRPr lang="ru-RU"/>
              </a:p>
            </c:txPr>
          </c:dLbls>
          <c:cat>
            <c:strRef>
              <c:f>Лист1!$A$2:$A$13</c:f>
              <c:strCache>
                <c:ptCount val="12"/>
                <c:pt idx="0">
                  <c:v xml:space="preserve">Численность постоянного населения</c:v>
                </c:pt>
                <c:pt idx="1">
                  <c:v xml:space="preserve">Ожидаемая продолжительность жизни</c:v>
                </c:pt>
                <c:pt idx="2">
                  <c:v xml:space="preserve">Количество семей, улучшивших жилищные условия</c:v>
                </c:pt>
                <c:pt idx="3">
                  <c:v xml:space="preserve">Реальная начисленная заработная плата</c:v>
                </c:pt>
                <c:pt idx="4">
                  <c:v xml:space="preserve">Реальные располагаемые денежные доходы населения</c:v>
                </c:pt>
                <c:pt idx="5">
                  <c:v>Инвестиции</c:v>
                </c:pt>
                <c:pt idx="6">
                  <c:v xml:space="preserve">Численность занятых в сфере МСП</c:v>
                </c:pt>
                <c:pt idx="7">
                  <c:v>ВРП</c:v>
                </c:pt>
                <c:pt idx="8">
                  <c:v xml:space="preserve">Производительность труда</c:v>
                </c:pt>
                <c:pt idx="9">
                  <c:v xml:space="preserve">Валовая продукция сельского хозяйства</c:v>
                </c:pt>
                <c:pt idx="10">
                  <c:v xml:space="preserve">Бюджетная обеспеченность на душу населения</c:v>
                </c:pt>
                <c:pt idx="11">
                  <c:v xml:space="preserve">Оборот потребительского рынка</c:v>
                </c:pt>
              </c:strCache>
            </c:strRef>
          </c:cat>
          <c:val>
            <c:numRef>
              <c:f>Лист1!$E$2:$E$13</c:f>
              <c:numCache>
                <c:formatCode>General</c:formatCode>
                <c:ptCount val="12"/>
                <c:pt idx="0">
                  <c:v>95</c:v>
                </c:pt>
                <c:pt idx="1">
                  <c:v>115.8</c:v>
                </c:pt>
                <c:pt idx="2">
                  <c:v>173.6</c:v>
                </c:pt>
                <c:pt idx="3">
                  <c:v>155.8</c:v>
                </c:pt>
                <c:pt idx="4">
                  <c:v>178</c:v>
                </c:pt>
                <c:pt idx="5">
                  <c:v>222.00000000000003</c:v>
                </c:pt>
                <c:pt idx="6">
                  <c:v>102.1</c:v>
                </c:pt>
                <c:pt idx="7">
                  <c:v>249.6</c:v>
                </c:pt>
                <c:pt idx="8">
                  <c:v>230.9</c:v>
                </c:pt>
                <c:pt idx="9">
                  <c:v>130.2</c:v>
                </c:pt>
                <c:pt idx="10">
                  <c:v>198.1</c:v>
                </c:pt>
                <c:pt idx="11">
                  <c:v>221.1</c:v>
                </c:pt>
              </c:numCache>
            </c:numRef>
          </c:val>
        </c:ser>
        <c:dLbls>
          <c:showBubbleSize val="0"/>
          <c:showCatName val="0"/>
          <c:showLeaderLines val="0"/>
          <c:showLegendKey val="0"/>
          <c:showPercent val="0"/>
          <c:showSerName val="0"/>
          <c:showVal val="0"/>
        </c:dLbls>
        <c:axId val="166873728"/>
        <c:axId val="176103808"/>
      </c:radarChart>
      <c:catAx>
        <c:axId val="166873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 bwMode="auto">
          <a:prstGeom prst="rect">
            <a:avLst/>
          </a:prstGeom>
          <a:noFill/>
          <a:ln w="25400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>
                <a:solidFill>
                  <a:sysClr val="windowText" lastClr="000000"/>
                </a:solidFill>
                <a:latin typeface="Times New Roman"/>
                <a:ea typeface="+mn-ea"/>
                <a:cs typeface="Times New Roman"/>
              </a:defRPr>
            </a:pPr>
            <a:endParaRPr lang="ru-RU"/>
          </a:p>
        </c:txPr>
        <c:crossAx val="176103808"/>
        <c:crosses val="autoZero"/>
        <c:auto val="1"/>
        <c:lblAlgn val="ctr"/>
        <c:lblOffset val="100"/>
        <c:noMultiLvlLbl val="0"/>
      </c:catAx>
      <c:valAx>
        <c:axId val="176103808"/>
        <c:scaling>
          <c:orientation val="minMax"/>
        </c:scaling>
        <c:delete val="1"/>
        <c:axPos val="l"/>
        <c:majorGridlines>
          <c:spPr bwMode="auto">
            <a:prstGeom prst="rect">
              <a:avLst/>
            </a:prstGeom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one"/>
        <c:crossAx val="166873728"/>
        <c:crosses val="autoZero"/>
        <c:crossBetween val="between"/>
      </c:valAx>
      <c:spPr bwMode="auto">
        <a:prstGeom prst="rect">
          <a:avLst/>
        </a:prstGeom>
        <a:noFill/>
        <a:ln>
          <a:noFill/>
        </a:ln>
        <a:effectLst/>
      </c:spPr>
    </c:plotArea>
    <c:legend>
      <c:legendPos val="r"/>
      <c:layout/>
      <c:overlay val="0"/>
      <c:spPr bwMode="auto">
        <a:prstGeom prst="rect">
          <a:avLst/>
        </a:prstGeom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>
              <a:solidFill>
                <a:sysClr val="windowText" lastClr="000000"/>
              </a:solidFill>
              <a:latin typeface="Times New Roman"/>
              <a:ea typeface="+mn-ea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 bwMode="auto">
    <a:prstGeom prst="rect">
      <a:avLst/>
    </a:prstGeom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200">
          <a:solidFill>
            <a:sysClr val="windowText" lastClr="000000"/>
          </a:solidFill>
          <a:latin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embeddings/_rels/Microsoft_Excel_Worksheet1.xlsx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7242FC-E2C5-428F-9F6D-F5F085A425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BurovVYu</dc:creator>
  <cp:lastModifiedBy>user</cp:lastModifiedBy>
  <cp:revision>74</cp:revision>
  <dcterms:created xsi:type="dcterms:W3CDTF">2024-04-05T03:48:00Z</dcterms:created>
  <dcterms:modified xsi:type="dcterms:W3CDTF">2025-07-25T06:26:54Z</dcterms:modified>
</cp:coreProperties>
</file>