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highlight w:val="white"/>
        </w:rPr>
      </w:r>
      <w:bookmarkStart w:id="0" w:name="OLE_LINK4"/>
      <w:r>
        <w:rPr>
          <w:color w:val="000000" w:themeColor="text1"/>
          <w:sz w:val="2"/>
          <w:szCs w:val="2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33"/>
          <w:szCs w:val="33"/>
          <w:highlight w:val="white"/>
        </w:rPr>
        <w:t xml:space="preserve">ПРАВИТЕЛЬСТВО ЗАБАЙКАЛЬСКОГО КРАЯ</w:t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Cs/>
          <w:color w:val="000000" w:themeColor="text1"/>
          <w:spacing w:val="-14"/>
          <w:highlight w:val="white"/>
        </w:rPr>
      </w:pPr>
      <w:r>
        <w:rPr>
          <w:bCs/>
          <w:color w:val="000000" w:themeColor="text1"/>
          <w:spacing w:val="-14"/>
          <w:sz w:val="35"/>
          <w:szCs w:val="35"/>
          <w:highlight w:val="white"/>
        </w:rPr>
        <w:t xml:space="preserve">ПОСТАНОВЛЕНИЕ</w:t>
      </w:r>
      <w:r>
        <w:rPr>
          <w:bCs/>
          <w:color w:val="000000" w:themeColor="text1"/>
          <w:spacing w:val="-14"/>
          <w:highlight w:val="white"/>
        </w:rPr>
      </w:r>
      <w:r>
        <w:rPr>
          <w:bCs/>
          <w:color w:val="000000" w:themeColor="text1"/>
          <w:spacing w:val="-14"/>
          <w:highlight w:val="white"/>
        </w:rPr>
      </w:r>
    </w:p>
    <w:p>
      <w:pPr>
        <w:jc w:val="center"/>
        <w:shd w:val="clear" w:color="auto" w:fill="ffffff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auto" w:fill="ffffff"/>
        <w:rPr>
          <w:bCs/>
          <w:color w:val="000000" w:themeColor="text1"/>
          <w:spacing w:val="-14"/>
          <w:sz w:val="6"/>
          <w:szCs w:val="6"/>
          <w:highlight w:val="white"/>
        </w:rPr>
      </w:pPr>
      <w:r>
        <w:rPr>
          <w:bCs/>
          <w:color w:val="000000" w:themeColor="text1"/>
          <w:spacing w:val="-6"/>
          <w:sz w:val="35"/>
          <w:szCs w:val="35"/>
          <w:highlight w:val="white"/>
        </w:rPr>
        <w:t xml:space="preserve">г. Чита</w:t>
      </w:r>
      <w:bookmarkEnd w:id="0"/>
      <w:r>
        <w:rPr>
          <w:bCs/>
          <w:color w:val="000000" w:themeColor="text1"/>
          <w:spacing w:val="-14"/>
          <w:sz w:val="6"/>
          <w:szCs w:val="6"/>
          <w:highlight w:val="white"/>
        </w:rPr>
      </w:r>
      <w:r>
        <w:rPr>
          <w:bCs/>
          <w:color w:val="000000" w:themeColor="text1"/>
          <w:spacing w:val="-14"/>
          <w:sz w:val="6"/>
          <w:szCs w:val="6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  <w:t xml:space="preserve">О внес</w:t>
      </w:r>
      <w:r>
        <w:rPr>
          <w:b/>
          <w:bCs/>
          <w:sz w:val="28"/>
          <w:szCs w:val="28"/>
          <w:highlight w:val="white"/>
        </w:rPr>
        <w:t xml:space="preserve">ении изменений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Порядок предоставления субсидий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из бюджета Забайкальского края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ных пунктах Забайкальского края, не обеспеченных централизованным электроснабжением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tabs>
          <w:tab w:val="left" w:pos="748" w:leader="none"/>
        </w:tabs>
        <w:rPr>
          <w:b/>
          <w:bCs/>
          <w:spacing w:val="4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bCs/>
          <w:spacing w:val="40"/>
          <w:sz w:val="28"/>
          <w:szCs w:val="28"/>
          <w:highlight w:val="white"/>
        </w:rPr>
        <w:t xml:space="preserve">постановляет:</w:t>
      </w:r>
      <w:r>
        <w:rPr>
          <w:b/>
          <w:bCs/>
          <w:spacing w:val="40"/>
          <w:sz w:val="28"/>
          <w:szCs w:val="28"/>
          <w:highlight w:val="white"/>
        </w:rPr>
      </w:r>
      <w:r>
        <w:rPr>
          <w:b/>
          <w:bCs/>
          <w:spacing w:val="40"/>
          <w:sz w:val="28"/>
          <w:szCs w:val="28"/>
          <w:highlight w:val="whit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sz w:val="28"/>
          <w:szCs w:val="28"/>
          <w:highlight w:val="white"/>
          <w:shd w:val="clear" w:color="auto" w:fill="ffffff"/>
          <w:lang w:eastAsia="en-US"/>
        </w:rPr>
        <w:t xml:space="preserve">1. </w:t>
      </w:r>
      <w:r>
        <w:rPr>
          <w:sz w:val="28"/>
          <w:szCs w:val="28"/>
          <w:highlight w:val="white"/>
          <w:shd w:val="clear" w:color="auto" w:fill="ffffff"/>
          <w:lang w:eastAsia="en-US"/>
        </w:rPr>
        <w:t xml:space="preserve">Утвердить прилагаемые изменения, которые вносятся в Порядок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нных пунктах Забайкальского края, не обеспеченных централизованным электроснабжением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утвержденный постановлением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Правительства Забайкальского края от 26 января 2017 № 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shd w:val="clear" w:color="auto" w:fill="ffffff"/>
          <w:lang w:eastAsia="en-US"/>
        </w:rPr>
        <w:t xml:space="preserve">(с изменениями, внесенными постановлениями Правительства Забайкальского края от </w:t>
      </w:r>
      <w:r>
        <w:rPr>
          <w:sz w:val="28"/>
          <w:szCs w:val="28"/>
          <w:highlight w:val="white"/>
          <w:shd w:val="clear" w:color="auto" w:fill="ffffff"/>
          <w:lang w:eastAsia="en-US"/>
        </w:rPr>
        <w:t xml:space="preserve">28 декабря 2017 </w:t>
      </w:r>
      <w:r>
        <w:rPr>
          <w:sz w:val="28"/>
          <w:szCs w:val="28"/>
          <w:highlight w:val="white"/>
          <w:shd w:val="clear" w:color="auto" w:fill="ffffff"/>
          <w:lang w:eastAsia="en-US"/>
        </w:rPr>
        <w:t xml:space="preserve">года </w:t>
      </w:r>
      <w:r>
        <w:rPr>
          <w:sz w:val="28"/>
          <w:szCs w:val="28"/>
          <w:highlight w:val="white"/>
          <w:shd w:val="clear" w:color="auto" w:fill="ffffff"/>
          <w:lang w:eastAsia="en-US"/>
        </w:rPr>
        <w:t xml:space="preserve">№ 578, от 28 июня 2021 года</w:t>
      </w:r>
      <w:r>
        <w:rPr>
          <w:sz w:val="28"/>
          <w:szCs w:val="28"/>
          <w:highlight w:val="white"/>
          <w:shd w:val="clear" w:color="auto" w:fill="ffffff"/>
          <w:lang w:eastAsia="en-US"/>
        </w:rPr>
        <w:t xml:space="preserve"> № 217, Решением Забайкальского краевого суда от 18 сентября 2020 года № 3а-99/2020).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дня его официального опубликования.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jc w:val="both"/>
        <w:tabs>
          <w:tab w:val="left" w:pos="8400" w:leader="none"/>
        </w:tabs>
        <w:rPr>
          <w:bCs/>
          <w:color w:val="000000" w:themeColor="text1"/>
          <w:sz w:val="27"/>
          <w:szCs w:val="27"/>
          <w:highlight w:val="white"/>
        </w:rPr>
      </w:pPr>
      <w:r>
        <w:rPr>
          <w:bCs/>
          <w:color w:val="000000" w:themeColor="text1"/>
          <w:sz w:val="27"/>
          <w:szCs w:val="27"/>
          <w:highlight w:val="white"/>
        </w:rPr>
        <w:tab/>
      </w:r>
      <w:r>
        <w:rPr>
          <w:bCs/>
          <w:color w:val="000000" w:themeColor="text1"/>
          <w:sz w:val="27"/>
          <w:szCs w:val="27"/>
          <w:highlight w:val="white"/>
        </w:rPr>
      </w:r>
      <w:r>
        <w:rPr>
          <w:bCs/>
          <w:color w:val="000000" w:themeColor="text1"/>
          <w:sz w:val="27"/>
          <w:szCs w:val="27"/>
          <w:highlight w:val="white"/>
        </w:rPr>
      </w:r>
    </w:p>
    <w:p>
      <w:pPr>
        <w:jc w:val="both"/>
        <w:tabs>
          <w:tab w:val="left" w:pos="1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Исполняющий обязанности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первого заместителя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председателя Правительства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Забайкальского края</w:t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  <w:t xml:space="preserve">    </w:t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  <w:t xml:space="preserve">  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А.И.Кефер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jc w:val="right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  <w:t xml:space="preserve">УТВЕРЖДЕНЫ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постановлением Правительства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jc w:val="right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Забайкальского края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jc w:val="center"/>
        <w:shd w:val="clear" w:color="auto" w:fill="ffffff"/>
        <w:rPr>
          <w:b/>
          <w:bCs/>
          <w:color w:val="auto"/>
          <w:sz w:val="28"/>
          <w:szCs w:val="28"/>
          <w:highlight w:val="white"/>
        </w:rPr>
      </w:pPr>
      <w:r>
        <w:rPr>
          <w:b/>
          <w:bCs/>
          <w:color w:val="auto"/>
          <w:sz w:val="28"/>
          <w:szCs w:val="28"/>
          <w:highlight w:val="white"/>
        </w:rPr>
        <w:t xml:space="preserve">ИЗМЕНЕНИЯ,</w:t>
      </w:r>
      <w:r>
        <w:rPr>
          <w:b/>
          <w:bCs/>
          <w:color w:val="auto"/>
          <w:sz w:val="28"/>
          <w:szCs w:val="28"/>
          <w:highlight w:val="white"/>
        </w:rPr>
      </w:r>
      <w:r>
        <w:rPr>
          <w:b/>
          <w:bCs/>
          <w:color w:val="auto"/>
          <w:sz w:val="28"/>
          <w:szCs w:val="28"/>
          <w:highlight w:val="white"/>
        </w:rPr>
      </w:r>
    </w:p>
    <w:p>
      <w:pPr>
        <w:pStyle w:val="791"/>
        <w:jc w:val="center"/>
        <w:tabs>
          <w:tab w:val="left" w:pos="365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auto"/>
          <w:sz w:val="28"/>
          <w:szCs w:val="28"/>
          <w:highlight w:val="white"/>
        </w:rPr>
        <w:t xml:space="preserve">которые вносятся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ных пунктах Забайкальского края, не обеспеченных централизованным электроснабжением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Правительства Забайкальского края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91"/>
        <w:jc w:val="center"/>
        <w:tabs>
          <w:tab w:val="left" w:pos="365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от 26 января 2017 № 15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91"/>
        <w:jc w:val="center"/>
        <w:tabs>
          <w:tab w:val="left" w:pos="365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91"/>
        <w:jc w:val="center"/>
        <w:tabs>
          <w:tab w:val="left" w:pos="365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ных пунктах Забайкальского края, не обеспеченных централизованным электроснабжением: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68"/>
        <w:contextualSpacing/>
        <w:ind w:left="4962" w:firstLine="0"/>
        <w:jc w:val="center"/>
        <w:spacing w:after="0"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  <w:lang w:val="ru-RU" w:eastAsia="ru-RU"/>
        </w:rPr>
        <w:t xml:space="preserve">«УТВЕРЖДЕН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768"/>
        <w:contextualSpacing/>
        <w:ind w:left="4962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  <w:lang w:val="ru-RU" w:eastAsia="ru-RU"/>
        </w:rPr>
        <w:t xml:space="preserve">постановлением Правительства Забайкальского края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</w:r>
    </w:p>
    <w:p>
      <w:pPr>
        <w:pStyle w:val="768"/>
        <w:contextualSpacing/>
        <w:ind w:left="4962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  <w:lang w:val="ru-RU" w:eastAsia="ru-RU"/>
        </w:rPr>
        <w:t xml:space="preserve">(в редакции постановления Правительства Забайкальского края)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val="ru-RU" w:eastAsia="ru-RU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ных пунктах Забайкальского края, не обеспеченных централизованным электроснабжением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tabs>
          <w:tab w:val="left" w:pos="6282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Настоящий Порядок определяет категории юридических лиц (за исключением государственных (муниципальных) учреждений), индивидуальных предпринимателей, имеющих право на получение субсидий в целях возмещения недополученных доходов и (или) финансового обеспе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чения (возмещения) затрат в связи с оказанием услуг по электроснабжению населения, проживающего в населенных пунктах Забайкальского края, предусмотренных </w:t>
      </w:r>
      <w:hyperlink r:id="rId13" w:tooltip="https://login.consultant.ru/link/?req=doc&amp;base=RLAW251&amp;n=1631522&amp;dst=100007&amp;field=134&amp;date=22.07.2025" w:history="1">
        <w:r>
          <w:rPr>
            <w:rStyle w:val="929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статьей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Закона Забайкальского края от 12 октября 2015 года № 1232-ЗЗК «О возмещении недополученных доходов и (или) финансовом обеспечении (возмещении) затрат юридическим лицам (за исключением государственных (муниципальных) учреждений), индивидуальным предпринима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телям, снабжающим электрической энергией население, проживающее в населенных пунктах Забайкальского края, не обеспеченных централизованным электроснабжением» (далее также - организации, субсидии, субсидии на возмещение недополученных доходов, субсидии на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инансовое обеспечение (возмещение) затрат),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цели, условия, порядок проведения отбора получателей субсидий и порядок предоставления субсидий, результат их предоставления, пор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ядок возврата субсидий в бюджет Забайкальского края в случае нарушения условий, установленных при их предоставлении, случаи и порядок возврата в текущем финансовом году получателем субсидий остатков субсидий, предоставленных в целях финансового обеспечения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затрат,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а 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акже регламентирует положения об осуществлении в отношении получателей субсидий и лиц, указанных в пункте 5 статьи 78 Бюджетного кодекса Российской Федерации, проверок Министерством жилищно-коммунального хозяйства, энергетики, цифровизации и связи Забайкал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ьского края (далее – уполномоченный орган) соблюдения ими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статьями 268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269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 Субсидии из бюджета Забайкальского края предоставляют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ся уполномоченным органом,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зательств на предоставление субсидий на соответствующий финансовый год (соответствующий финансовый год и плановый период) 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возмещения недополученных доходов и (или) финансовом обеспечении (возмещении) затрат юридическим лицам (за исключением государственных (муниципальных) учреждений), индивидуальным предпринима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телям, снабжающим электрической энергией население, проживающее в населенных пунктах Забайкальского края, не обеспеченных централизованным электроснабжением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Информаци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Субсидии предоставляются по результатам отбора получателей субсидий.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Отбор получателей субсиди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 осуществляется способом запроса предложений (заявок на участие в отборе получателей субсидий) исходя из соответствия участников отбора категории, требованиям, условиям, установленным пунктами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7–9 настоящего Порядка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 соответственно – отбор, заявка).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ГИИС «Электронный бюджет») посредством Портала предоставления мер финансовой государственной поддержки (https://promote.budget.gov.ru/)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Обеспечение доступа к ГИИС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Размер субсидии на возмещение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недополученных доходов определяется как разница между плановой валовой выручкой с учетом экономически обоснованных цен (тарифов) и плановой валовой выручкой с учетом цен (тарифов) для населения,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исключением случ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ая, устан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овленного </w:t>
      </w:r>
      <w:hyperlink r:id="rId14" w:tooltip="file:///C:/Program%20Files/R7-Office/Editors-2024.4.2/editors/web-apps/apps/documenteditor/main/index.html?_dc=0&amp;lang=ru-RU&amp;frameEditorId=placeholder&amp;parentOrigin=file://#p6" w:history="1">
        <w:r>
          <w:rPr>
            <w:rStyle w:val="929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пунктом 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случае, если объем полезного отпуска электрической энергии, отпускаемой организациями населению, учтенный уполномоченным органом при формировании цен (тарифов) для населения на расчетный период регулирования, превышает фактический объем полезного отпу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ска электрической энергии, отпускаемой организациями населению в расчетном периоде регулирования, размер субсидии на возмещение недополученных доходов организациям определяется как разница между фактической валовой выручкой с учетом экономически обоснованн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ых цен (тарифов) и фактической валовой выручкой с учетом цен (тарифов) для населения.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Субсидии на финансовое обеспечение (возмещение) затрат предоставляются организациям в размере, не превышающем 90 процентов размера субсидии на возмещение недополученных доходов, определяемого в соответствии с </w:t>
      </w:r>
      <w:hyperlink r:id="rId15" w:tooltip="file:///C:/Program%20Files/R7-Office/Editors-2024.4.2/editors/web-apps/apps/documenteditor/main/index.html?_dc=0&amp;lang=ru-RU&amp;frameEditorId=placeholder&amp;parentOrigin=file://#p5" w:history="1">
        <w:r>
          <w:rPr>
            <w:rStyle w:val="929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пунктом 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Субсидия на финансовое обеспечение (возмещение) затрат направляется организацией на осуществление закупки и завоза материально-технических средств (создание запаса дизельного топлива, дизельного масла, прочих материалов), необходимых для обеспечения в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екущем финансовом году электроснабжения населения, проживающего в населенных пунктах Забайкальского края, не обеспеченных централизованным электроснабжением, расположенных в районах Крайнего Севера и приравненных к ним местностях, а также на покрытие расхо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дов, учитываемых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Региональной службой по тарифам и ценообразованию Забайкальского 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 Служба) при формировании плановой валовой выручки и определенных действующим законодательством в сфере электроэнергетики.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категории получателей субсидий относятся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юридические лица (за исключением государственных (муниципальных) учреждений), индивидуальные предпринима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тели, снабжающие электрической энергией население, проживающее в населенных пунктах Забайкальского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края, не обеспеченных централизованным электроснабжение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превышении у них плановой валовой выручки с учетом экономически обоснованных цен (тарифов) над плановой 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ловой выручкой с учетом цен (тарифов) для населения.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Соответствие организации данной категории определяется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документами, подтверждающими пользование и владение объектами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электроэнергетики на основаниях, предусмотренных действующим законодательством.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8. 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Участники отбора должны соответствовать следующим требованиям:</w:t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на первое число месяца, в котором в соответствии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пунктом 13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 планируется подача заявок, у участника отбора должна отсутствовать просроченная задолженность по возвр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ату в бюджет Забайкальского края субсидий, бюджетных инвестиций, предоставленных в том 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 в соответствии с иными правовыми актами, а также иная просроченная (неурегулированная) задолженность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денежным обязательствам перед бюджетом Забайкальского края;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на первое число месяца, в котором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пунктом 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Порядка планируется подача заявок, ресурсоснабжающие организации не должны: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получать средства из бюджета Забайкаль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ского края на основании иных нормативных правовых актов на цели, указанные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hyperlink w:tooltip="#sub_6" w:anchor="sub_6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пункте 2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находиться в составляемых в рамках реализации полномочий, предусмотренных главой VII Ус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г) являться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д) являться иностранными юридическими лицами, в том числе местом регистрации которых является государство или территория, включенные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на дату принятия указанного в </w:t>
      </w:r>
      <w:hyperlink w:tooltip="#sub_36" w:anchor="sub_36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22 настоящего Порядка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решения участники отбора не должны находиться в процессе реорганизации (за исключением реорганизации в форме присоединения к юридическому лицу, являющемуся участником отбора, другого юридического лица), ликвидации, в отношени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них не введена процедура банкротства, деятельность которых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9. Условиями предоставления субсидий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соответствие участников отбора категории и требованиям, установленным в пунктах 7 и 8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согласие участников отбора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пунктом 46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 К участию в отборе допускаются участники отбора, соответствующие требованиям, указанным в объявлении.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Объявление о проведении отбора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объявление) формируется в электронной форме посредством заполнения соответствующих экранных форм веб-интерфейса ГИИС «Электронный бюджет», подписывается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силенной квалифицированной электронной подписью руководителя уполномоченного органа или уполномоченного им лица, публикуется на едином портале не позднее 5-го календарного дня до наступления даты начала приема заявок и включает в себя следующую информацию: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способ и сроки проведения отбора;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дату и время начала подачи заявок, а также дату и время окончания приема заявок, указанных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 этом дата окончания приема заявок не может быть ранее 10-го календарного дня, следующего за днем размещения объявления;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наименование, место нахождения, почтовый адрес, адрес электронной почты, контактный телефон уполномоченного органа;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наименование субсидий, результат предоставления субсидий, указанный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41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категорию участников отбора, требования к участникам отбора и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порядок подачи заявок участниками отбора и требования, предъявляемые к форме и содержанию заявок, подаваемых участниками отбора;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порядок рассмотрения заявок на предмет их соответствия установленным в объявлении категории, требованиям и условиям отбора, сроки рассмотрения заявок;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порядок возврата заявок на доработку;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ja-JP"/>
        </w:rPr>
        <w:t xml:space="preserve">11)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порядок предоставления участникам отбора разъяснений положений объявления о проведении отбора, дату начала и окончания срока такого предоставления;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12) условия признания победителя (победителей) отбора уклонившимся (уклонившимися) от заключения соглашения;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13) объем распределяемых субсидий в рамках отбора, порядок расчета размера субсидий, правила распределения субсидий по результатам отбор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пунктами 4–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14) срок, в течение которого победители отбора должны подписать соглашение (соглашения) о предоставлении субсидий с уполномоченным органом (далее – соглашение) в соответствии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пунктом 34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15) срок размещения протокола подведения итогов отбора (далее – протокол подведения итогов);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16)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порядок рассмотрения заявок на предмет их соответствия установленным в объявлении требованиям, категории, сроки рассмотрения заявок, а также информация о комиссии;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17)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порядок формирования комиссии, в том числе информация о порядке работы и полномочиях комиссии.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11. Уполномоченный орган вправе принять решение: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 внесении изменений в объявление, которое размещается на едином портале не позднее даты окончания приема заявок.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внесении изменений в объявление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даты окончания приема заявок указанный срок составлял не менее 3 календарных дней.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ГИИС «Электронный бюджет»;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 отмене проведения отбора, которое размещает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ся на едином портале не позднее чем за 1 рабочий день до даты окончания срока подачи заявок участниками отбора или до заключения соглашения с победителем (победителями) отбора только в случае возникновения обстоятельств непреодолимой силы в соответствии с </w:t>
      </w:r>
      <w:hyperlink r:id="rId16" w:tooltip="https://login.consultant.ru/link/?req=doc&amp;base=LAW&amp;n=482692&amp;date=21.04.2025&amp;dst=101922&amp;field=134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Гражданского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Объявление об отмене отбора формируется в электронной форме посредством заполнения соответствующих экран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ных форм веб-интерфейса ГИИС «Электронный бюджет», подписывается усиленной квалифицированной электронной подписью руководителя уполномоченного органа или уполномоченного им лица, размещается на едином портале и включает информацию о причинах отмены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Участники отбора, подавшие заявки, информируются об отмене проведения отбора в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окончания срока отмены проведения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отбора получателей субсидий и до заключения соглашения с победителем (победителями)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</w:t>
      </w:r>
      <w:hyperlink r:id="rId17" w:tooltip="https://login.consultant.ru/link/?req=doc&amp;base=LAW&amp;n=482692&amp;date=24.04.2025&amp;dst=101922&amp;field=134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Гражданского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12. В целях проведения отбора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полномоченный орган создает комиссию и утверждает положение о комиссии,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содержащее информацию о председателе комиссии, персональном составе комиссии, порядке его работы, информацию о полномочиях комиссии, к которым относятся: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рассмотрение заявок (единственной заявки);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принятие решения о признании отбора несостоявшимся;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подписание протоколов, формируемых в процессе отбора, содержащих информацию о принятых комиссией решениях.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 создании комиссии размещается уполномоченным орга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 на едином портале в течение 3 рабочих дней со дня принятия, также включается в объявление. Взаимодействие уполномоченного органа и комиссии с участниками отбора осуществляется в ГИИС «Электронный бюджет» с использованием документов в электронной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13. Заявка в упо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лномоченный орган подается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«Электронный бюджет» (далее – заявка):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заявке в ГИИС «Электронный бюджет» прилагаются следующие электронные копии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гарантийного письма в произвольной форме о соответствии участника отбора требованиям, установленн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согласия на публикацию (размещение)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информационно-телекоммуникационной сети «Интернет» информации об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подаваемого посредством заполнения соответствующих экранных форм веб-интерфейса.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Электронные копии документов, включаемые в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явку (прилагаемые),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редствами, не позволяющими осуществить ознакомление с их содержимым без специальных программных или технологических средств. Электронные копии документов должны быть легко читаемыми, не должны иметь подчисток, приписок, зачеркнутых слов и иных исправлений.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91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получения субсидии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ежегодно до 20 января текущего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представляют в уполномоченный орган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ледующие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электронные копии документов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 выписку из Единого государственного реестра юридических лиц, выданную не более чем за 30 дней до даты представления в уполномоченный орган заявки на предоставление субсидии (представляется организацией по собственной инициативе);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б) копии документов, подтверждающих пользование и владение объектами электроэнергетики на основаниях, предусмотренных действующим законодательством;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расчеты (справки) и (или) заключения Службы об объемах недополученных доходов на соответствующий финансовый год, сложившихся в результате государственного регулирования тарифов;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г) реестр заключенных с потребителями договоров электроснабжения на соответствующий финансовый год по форме, утверждаемой уполномоченным органом.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получения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субсидии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возмещение недополученных доходов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ежемесячно до 10-го числа месяца, следующего за отчетным, по утверждаемым уполномоченным органом формам,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представляют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электронные копии документов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 заявку на предоставление субсидии;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б) отчет о фактически выполненных объемах электроснабжения населения;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в) отчет по приходу, расходу, остатках топлива;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г) отчет о фактическом количестве часов работы дизельных электростанций, согласованный с органом местного самоуправления муниципального образования Забайкальского края;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д) отчет об использовании средств субсидии.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Предварительный отчет об объемах электроснабжения населения за декабрь текущего года представляется организациями в уполномоченный орган до 10 декабря текущего года.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Уточненный отчет за декабрь отчетного года представляется организациями в уполномоченный орган до 10 января года, следующего за отчетным.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возникновения у организации права владения и пользования объектами электроэнергетики после 20 января текущего года документы, указанные в </w:t>
      </w:r>
      <w:hyperlink r:id="rId18" w:tooltip="file:///C:/Program%20Files/R7-Office/Editors-2024.4.2/editors/web-apps/apps/documenteditor/main/index.html?_dc=0&amp;lang=ru-RU&amp;frameEditorId=placeholder&amp;parentOrigin=file://#p1" w:history="1">
        <w:r>
          <w:rPr>
            <w:rStyle w:val="929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подпункте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пункта, в уполномоченный орган представляются не позднее 10-го числа месяца, следующего за месяцем, в котором возникло указанное право.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ля получения субсидии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финансовое обеспечение (возмещение) затрат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ежемесячно до 10-го числа месяца, следующего за отчетным, по утверждаемым уполномоченным органом формам,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представляют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/>
        </w:rPr>
        <w:t xml:space="preserve">электронные копии документов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заявку на предоставление субсидии;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91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сведения об объеме потребности в финансовых средствах на приобретение и завоз запасов материально-технических средств (дизельное топливо, дизельное масло, прочие материалы), необходимых для обеспечения в текущем финансовом году электроснабжения населени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я, проживающего в населенных пунктах Забайкальского края, не обеспеченных централизованным электроснабжением, расположенных в районах Крайнего Севера и приравненных к ним местностях.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14. В текущем финансовом году при первичном обращении на участие в отборе к заявке прилагаются следующие электронные копии документов: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юридических лиц: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копии учредительных документов, изменений и дополнений к учредительным документам;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копия документа, подтверждающего полномочия руководителя юридического лица (выписка из протокола и (или) приказ о назначении);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индивидуальных предпринимателей – копии страниц паспорта с личными данными, фотографией, местом регистрации с представлением оригинала или копии указанных страниц паспорта, заверенные нотариально.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страниц паспорта с личными данными, фотографией, местом регистрации после проверки их соответствия ори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гиналу заверяются уполномоченным органом, после чего оригинал паспорта возвращается обратившемуся за получением субсидий. Копии указанных страниц паспорта, удостоверенные нотариально или органом, их выдавшим, не требуют проверки их соответствия оригиналам.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15. Любой участник отбора со дня размещения объявления на едином портале не позднее 3-го рабочего дня до даты завершения подачи заявок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вправе направить в уполномоченный орган не более 5 запросов о разъяснении положений объявления (далее - запрос о разъяснении) путем формирования в ГИИС «Электронный бюджет» соответствующего запроса о разъяснении.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Уполномоченный орган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 на запрос о разъяснении направляет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Представленное уполномоченным органом разъяснение не должно изменять суть информации, содержащейся в указанном объявлении.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разъяснению, формируемому в ГИИС «Электронный бюджет», предоставляется всем участникам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уполномоченным органом.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 отбора до наступления даты окончания срока приема заявок, указанного в объявлении, вправе: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отозвать заявку путем формирования в электронной форме уведомления об отзыве заявки;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требованиями, установленными </w:t>
      </w:r>
      <w:hyperlink r:id="rId19"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" w:anchor="P135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16. Не позднее 1-го рабочего дня, следующего за днем окончания срока подачи заявок, установленного в объявлении, уполномоченному органу, а также комиссии открывается доступ в ГИИС «Электронный бюджет» к заявкам для их рассмотрения.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17. Пре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дседатель комиссии не позднее 1-го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в отборе получателей субсидий заявках: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регистрационный номер заявки;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дату и время поступления заявки;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полное наименование участника отбора (для юридических лиц) или фамилия, имя, отчество (при наличии) (для индивидуальных предпринимателей);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адрес юридического лица;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запрашиваемый участником отбора размер субсидии.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или уполномоченного им лица в ГИИС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«Электронный бюджет», а также размещается на едином портале не позднее 1-го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18. Уполномоченный орган в целях подтверждения соответствия участника отбора категории и требованиям, указанным в пунктах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 и 8 настоящего Порядка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поср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едством использования государственных информационных систем и (или) межведомственного электронного взаимодействия (за исключением случая, если участник отбора представил указанные документы и информацию по собственной инициативе) запрашивает и получает от: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территориальных органов Федеральной налоговой службы – выписку из Единого государственного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реестра юридических лиц и (или) выписку из Единого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реестра индивидуальных предпринимателей, не позднее 3 рабочих дней со дня, следующего за датой окончания срока подачи заявок, указанной в пункте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 настоящего Порядк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(при необходимости);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Службы 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расчеты (справки)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(или) заключения об объемах недополученных доходов на соответствующий финансовый год, сложившихся в результате государственного регулирования тарифо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19. Организации вправе представить копии документов, указанных в подпункте 1 пункта 18 настоящего Порядка, по собственной инициативе.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20. Комиссия не позднее 20 рабочих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дней с даты окончания срока приема заявок, указанного в объявлении, рассматривает их, проверяет полноту и достоверность содержащихся в них сведений, в том числе осуществляет проверку участника отбора на соответствие установленным в объявлении требованиям.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тверждение соответствия участника отбора требованиям, установленным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пун</w:t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кте 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Порядка, не требуется в случае наличия соответствующей информа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в государственных информационных системах, доступ к которым у уполномоченного органа, а также комиссии имеется в рамках межведомственного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Подтверждение соответствия участника отбора требованиям, установленным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 настоящего Порядка, в случае отсутствия технической возможности осуществления автоматической проверки в ГИИС «Электронный бюджет» производится путем проставления в электронном виде участником отбора отметок о соответствии установленным требованиям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заполнения соответствующих экранных форм веб-интерфейса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Уполномоченный орган и (или) комиссия не вправе требовать от участника отбора представления документов и информации в целях подтверждения соответствия его требованиям, указанным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 настоящего Порядка, при наличии соответствующей информации в государственных информа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ционных системах, доступ к которым у уполномоченного органа, а также комиссии имеется в 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собственной инициативе.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21. В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лучаях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документам, уполномоченным органом осуществляется запрос разъяснения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запрос) у участника отбора в отношении информации и документов с использованием ГИИС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запросе уполномоченный орган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если участник отбора в ответ на запрос не представил запрашиваемые документы и информацию в срок, установленный в соответствующем запросе, информация об этом включается в протокол подведения итогов.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22. На стадии рассмотрения заявки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 признании заявки надлежащей (решение о соответствии заявки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требованиям и условиям, указанным в объявлении, принимается уполномоченным органом единожды на даты получения результатов проверки представленных участником отбора информации и документов, поданных в составе заявки, по результатам автоматической проверки);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 отклонении заявки и отказе в предоставлении субсидии;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о возврате заявки на доработку.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23. На стадии рассмотрения заявки основаниями: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для отклонения заявки и отказа в предоставлении субсидий являются: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несоответствие участника отбора категории, требованиям и условиям, указанным в объявлении;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непредставление (представление не в полном объеме) документов, установленным в объявлении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несоответствие представленных участником отбора заявок и (или) документов требованиям, установленным в объявлении;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г) 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настоящим Порядком, указанным в объявлении;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д) подача участником отбора заявки после даты и (или) времени, определенных для подачи заявок;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для возврата заявки на доработку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незаполнение форм документов либо заполнение форм документов частично;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плохое качество изображения символов, букв и цифр, не позволяющее их прочитать.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24. Решение о возврате заявки на доработку принимается комиссией в равной мере ко всем участникам отбора, при рассмотрении заявок ко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торых выявлены основания для отклонения заявки и о возврате заявки на доработку, и доводится до участников отбора с использованием ГИИС «Электронный бюджет» в течение 1 рабочего дня со дня его принятия с указанием положений заявки, нуждающихся в доработке.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 отбора в течение 2 рабочих дней со дня получения решения о возврате заявки на доработку вправе доработать заявку и повторно направить ее в уполномоченный орган в порядке, определенном </w:t>
      </w:r>
      <w:hyperlink r:id="rId20"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" w:anchor="P135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Рассмотрение заявки после доработки осуществляется комиссией в порядке, установленном настоящим Порядком.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25. Победителями отбора признаютс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участники отбора, соответствующие требованиям, категории отбора, включенные в рейтинг, сформированный комиссией по результатам ранжирования поступивших заявок исходя из очередности их поступления и объема распределяемой субсидии, указанного в объявлении.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Ранжирование поступивших заявок осуществляется исходя из соответствия участников отбора категории, требованиям и условиям, установленным настоящим Порядком.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26. По результатам ранжирования поступивших заявок и определения победителей отбора в пределах объема распределяемой субсидии комиссия в течение 3 рабочих дней со дня окончания срока рассмотрения заявок формирует в ГИИС «Электронный бюджет» протоко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 подведения итогов, включающий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следующие сведения: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дата, время и место проведения рассмотрения заявок;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участниках отбора, заявки которых были рассмотрены;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об участниках отбора, заявки которых были отклонены, с указанием причин их отклонения, в том числе положений о проведении отбора, которым не соответствуют заявки;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наименование получателя (получателей) субсидии, с которым заключается соглашение, и размер предоставляемой ему (им) субсидии.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 подведения итогов формируется на едином портале автоматически на основании результатов определения побед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телей отбора и подписывается усиленной квалифицированной электронной подписью председателя комиссии или уполномоченного им лица в ГИИС «Электронный бюджет» не позднее 1 рабочего дня со дня его формирования, а также размещается на едином портале не позднее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 рабочего дня, следующего за днем его подписания.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27. Внесение изменений в протокол подведения итогов осуществляется не позднее 10 календарных дней со дня подписания первых версий протокола подведения итогов путем формирования новой версии протокола подведения итогов с указанием причин внесения изменений.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28. Субсидия, распределяемая в рамках отбора, распределяется между участниками отбора, включенными в рейтинг, следующим способом: каждому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29. Отбор признается несостоявшимся в следующих случаях: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по окончании срока подачи заявок подана только одна заявка;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по результатам рассмотрения заявок только одна заявка соответствует требованиям, установленным настоящим Порядком;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по окончании срока подачи заявок не подано ни одной заявки;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 результатам рассмотрения заявок отклонены все заявки.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30. В случае признания отбора несостоявшимся на основании </w:t>
      </w:r>
      <w:hyperlink r:id="rId21" w:tooltip="file:///C:/Program%20Files/R7-Office/Editors-2024.4.2/editors/web-apps/apps/documenteditor/main/index.html?_dc=0&amp;lang=ru-RU&amp;frameEditorId=placeholder&amp;parentOrigin=file://#p8" w:anchor="p8" w:history="1"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white"/>
            <w:u w:val="none"/>
          </w:rPr>
          <w:t xml:space="preserve">подпункта 1 пункта 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29 настоящего Порядка коми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ссия рассматривает единственную представленную заявку на соответствие требованиям, установленным в объявлении, в порядке, определенном настоящим Порядком. В случае соответствия данной заявки указанным требованиям с участником отбора заключается соглашение.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31. По результатам отбора заключается соглашение (соглашения).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Соглашение, а также дополнительные соглашения к соглашению заключаются в соответствии с типовой формой, установленной Министерством финансов Забайкальского края, в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32. В соглашении предусматриваются: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условия предоставления субсидий, в том числе обязательные условия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 субсидий, включенные в такие договоры в соответствии со </w:t>
      </w:r>
      <w:hyperlink r:id="rId22" w:tooltip="https://internet.garant.ru/document/redirect/12112604/78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статьей 78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567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согласие получателей субсидий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пунктом 46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567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условия о согласовании новых условий соглашения или о расторжении соглаше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 при недостижении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567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реквизиты расчетного или корреспондентского счета, открытого получателю субсидии в учреждениях Центрального банка Российской Федерации или кредитных организациях, на который подлежит перечислению субсидия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банковский счет);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567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результат предоставления субсидии, установленный пунктом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41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567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сроки представления получателем субсидий отчетно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сти о достижении значений результатов предоставления субсидий, об осуществлении расходов, источником финансового обеспечения которых являются субсидии, а также сроки и формы предоставления получателем субсидий дополнительной отчетности (при необходимости);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запрет приобретения получателями субсидий – юридическими лицами, 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также иными юридическими лицами, получающими средства на основании договоров о предоставлении субсидий, заключенных с получателями субсидий, за счет полученных средств иностранной валюты, за исключением операций, осуществляемых в соответствии с валютным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обязательства получателя субсидий по возврату средств субсидий, использованных с нарушением условий и порядка предоставления субсидий, или остатков средств субсидий, не использованных в отчетном финансовом году;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ответственность получателей субсидий за нарушение условий соглашения;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11) положения о порядке и сроках возврата субсидий в бюджет Забайкальского края.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33. При реорганизации получателя субсидии, являющегося юридическим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34. Заключение соглашения осуществляется в следующем порядке и сроки: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уполномоченный орган в течение 5 рабочих дней со дня формирования протокола подведения итогов направляет получателю субсидии соответствующее уведомление о формировании в ГИИС «Электронный бюджет» соглашения;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получатель субсидии в течение 3 рабочих дней со дня получения уведомления, предусмотренного </w:t>
      </w:r>
      <w:hyperlink r:id="rId23" w:tooltip="file:///C:/Program%20Files/R7-Office/Editors-2024.4.2/editors/web-apps/apps/documenteditor/main/index.html?_dc=0&amp;lang=ru-RU&amp;frameEditorId=placeholder&amp;parentOrigin=file://#p14" w:anchor="p14" w:history="1"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white"/>
            <w:u w:val="none"/>
          </w:rPr>
          <w:t xml:space="preserve">подпунктом 1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пункта, осуществляет подписание соглашения в ГИИС «Электронный бюджет» усиленной квалифицированной электронной подписью руководителя юридического лица, индивидуального предпринимателя или уполномоченного ими лица;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руководитель уполномоченного органа или уполномоченное им лицо в течение 3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«Электронный бюджет».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35. Победитель отбора признается уклонившимся от заключения Соглашения, если он не подписал соглашение в ГИИС «Электронный бюджет» в течение срока, указанного в </w:t>
      </w:r>
      <w:hyperlink r:id="rId24" w:tooltip="file:///C:/Program%20Files/R7-Office/Editors-2024.4.2/editors/web-apps/apps/documenteditor/main/index.html?_dc=0&amp;lang=ru-RU&amp;frameEditorId=placeholder&amp;parentOrigin=file://#p15" w:anchor="p15" w:history="1"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white"/>
            <w:u w:val="none"/>
          </w:rPr>
          <w:t xml:space="preserve">подпункте </w:t>
        </w:r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white"/>
            <w:u w:val="none"/>
          </w:rPr>
          <w:t xml:space="preserve">2 пункта 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Порядка, и не направил возражения по проекту соглашения.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36. Уполномоченный орган отказывает от заключения соглашения с получателем субсидии в случае установления факта несоответствия получателя субсидии требованиям, указанным в объявлении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или пред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ставления получателем недостоверной информации.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отказа уполномоченного органа от заключения соглашения с получателем субсидии по основанию, предусмотренному </w:t>
      </w:r>
      <w:hyperlink r:id="rId25" w:tooltip="file:///C:/Program%20Files/R7-Office/Editors-2024.4.2/editors/web-apps/apps/documenteditor/main/index.html?_dc=0&amp;lang=ru-RU&amp;frameEditorId=placeholder&amp;parentOrigin=file://#p18" w:anchor="p18" w:history="1"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white"/>
            <w:u w:val="none"/>
          </w:rPr>
          <w:t xml:space="preserve">абзацем первым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определенный </w:t>
      </w:r>
      <w:hyperlink r:id="rId26" w:tooltip="file:///C:/Program%20Files/R7-Office/Editors-2024.4.2/editors/web-apps/apps/documenteditor/main/index.html?_dc=0&amp;lang=ru-RU&amp;frameEditorId=placeholder&amp;parentOrigin=file://#p15" w:anchor="p15" w:history="1"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white"/>
            <w:u w:val="none"/>
          </w:rPr>
          <w:t xml:space="preserve">подпунктом </w:t>
        </w:r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white"/>
            <w:u w:val="none"/>
          </w:rPr>
          <w:t xml:space="preserve">2 пункта 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уполномоченный орган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результата ее предоставления.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37. В случаях наличия по результатам проведения отбора лимитов бюджетных обязательств на предоставление субсидии на соответствующий финансовый год, не распределенных между победителями отбора, увеличения 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имитов бюджетных обязательств, отказа победителя отбора от заключения соглашения, расторжения соглашения с получателем субсидии уполномоченный орган вправе принять решение о проведении дополнительного отбора в соответствии с положениями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38. В случаях увеличения уполномоченному органу лимитов бюджетных обязательств на предоставление субсидии в преде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признанных победителями отбора, заявки которых в части запрашиваемого размера субсидии не были удов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летворены в полном объеме, субсидия может распределяться без повторного проведения отбора с учетом присвоенного ранее номера в рейтинге, или по решению уполномоченного органа может направляться победителям отбора предложение об увеличении размера субсидии.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17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39. Уполномоченный орган в течение 3 рабочих дней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 дня заключения соглашения с получателем субсидии составляет заявку на финансирование в пределах лимитов бюджетных обязательств, утвержденных в установленном порядке на предоставление субсидии, и направляет ее в Министерство финансов Забайкальского края.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firstLine="540"/>
        <w:jc w:val="both"/>
        <w:spacing w:line="1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40. Министерство финансов Забайкальского края на основании заявки на финансирование в соотве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тствии с утвержденным кассовым планом в установленном порядке после получения заявки на финансирование перечисляет уполномоченному органу средства субсидии в пределах средств, предусмотренных в бюджете Забайкальского края на соответствующий финансовый год.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64"/>
        <w:ind w:firstLine="540"/>
        <w:jc w:val="both"/>
        <w:spacing w:line="17" w:lineRule="atLeas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Уполномоченный орган после поступления указанных средств, но не позднее 10-го рабочего дня, следующего за днем принятия уполномоченным органом решения о предоставлении субсидии, перечисляет их на банковский счет получателя субсидии.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41. Результатом предоставления субсидий является обеспечение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электрической энергие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населения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проживающее в населенных пунктах Забайкальского края, не обеспеченных централизованным электроснабжением, посредствам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возмещения недополученных доходов организаций.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42. Получатели субсидий обязаны в ГИИС «Электронный бюджет» представлять следующие электронные копии документов: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отчет о фактически выполненных объемах электроснабжения населения,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ежемесячно до 10 числа месяца, следующего за отчетным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отчет о достижении результата предоставления субсидий по форме, определенной типовой формой соглашения, установленной Министерством финансов Забайкальского края, в определенный соглашением о предоставлении субсидии срок;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отчет об осуществлении расходов, источником финансового обеспечения которых является субсидия, по форме, определенной типовой формой соглашения, уста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новленной Министерством финансов Забайкальского края, с приложением документов, подтверждающих фактически произведенные расходы, источником которых стала субсидия, не позднее 25-го числа месяца, следующего за месяцем, в котором были предоставлены субсидии.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43. Уполномоченный орган не позднее 25 числа месяца, следующего за датой представления соответствующих отчетов, указанной в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ункте 42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Порядка, осуществляет их проверку на предмет: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полноты и правильности заполнения отчетов;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соответствия расходов, источником финансового обеспечения которых является субсидия, направлениям расходов, установленных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54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соответствия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стала субсидия.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44. По результатам проверки отчетов уполномоченный орган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 принятии отчета;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 отклонении отчета.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45. Основаниями для принятия решения об отклонении отчета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несоответствие расходов, источником финансового обеспечения которых являются субсидии, направлениям расходов, установленных пунктом 54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непредставление документов, подтверждающих фактически произведенные расходы, источником финансового обеспечения которых стали субсидии;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несоответствие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стали субсидии;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установление факта недостоверности информации, отраженной в отчете.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46. В отношении получателей субсидий и лиц, указанных в пункте 5 статьи 78 Бюджетного кодекса Российской Федерации, осуществляются следующие проверки: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уполномоченным органом – соблюдения порядка и условий предоставления субсидий, в том числе в части достижения результата их предоставления;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органами государственного финансового контроля – в соответствии со статьями 268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269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47. Средства субсидий подлежат возврату в бюджет Забайкальского края в следующих случаях: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нарушения получателями субсидий условий, установленных при их предоставлении,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недостижения значений результата предоставления субсидии, указанных в соглашении.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48. Уполномоченный орган в течение 5 рабочих дней со дня выявления случаев (случая), указанных(ого)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пункте 47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Порядка, принимает решение о возврате субсидий и направляет получателям субсидий требование о возврате предоставленных субсидий.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Письменное требование в адрес ресурсоснабжающей организации направляется посредством электронной или факсимильной связи или почтовым отправлением.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49. Ресурсоснабжающая организация в течение 15 рабочих дней со дня получения требования о возврате предоставленных субсидий, указанного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пункте 48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Порядка, перечисляет полученные субсидии на счет уполномоченного органа.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50. В случае образования не использованного в отчетном финансовом году остатка субсидии возможно осуществление расходов, источник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 финансового обеспечения которых являются не использованные в отчетном финансовом году остатки субсидий, при принятии уполномоченным органом по согласованию с Министерством финансов Забайкальского края решения о наличии потребности в указанных средствах.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51. В случае образования не использованного в отчетном финансовом году остатка субсидий и отсутствия решения уполномоченного органа по согласованию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Министерством финансов Забайкальского края, указанного в пункте 50 настоящего Порядка, о наличии потребности в указанных средствах получатели субсидий возвращают остатки субсидий, не использованные в отчетном финансовом году, в бюджет Забайкальского края.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52. В случае невыполнения требований, указанных в пунктах 48 и 49 настоящего Порядка, взыскание субсидий осуществляется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53. 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несут ответственность за достоверность информации и докум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ентов, представляемых ими в уполномоченный орган для получения субсидий, а также за целевое использование предоставленных субсидий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Организация полученную субсидию направляет на расходы, учитываемые Службой при установлении цен (тарифов) на электрическую энергию (мощность), поставляемую покупателям на розничных рынках, в том числе населению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приравненным к нему категориям потребителей, на территориях, не объединенных в ценовые и неценовые зоны оптового рынка, в соответствии с Основами ценообразования в сфере электроэнергетики,утвержденными постановлением Правительства Российской Федерации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 29 декабря 2011 года № 1178 «О ценообразовании в области регулируемых цен (тарифов) в электроэнергетике».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55. Получателям субсидий – юридическим лицам, а также иным юридическим лицам, получающим средства на основании соглашений о предоставлении субси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дий, заключенных с получателями субсидий за счет полученных средств из соответствующего бюджета бюджетной системы Российской Федерации, запрещено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приобретать средства иностранной валюты, за исключением операций, осуществляемых в соответствии с валютным зак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56. Уполномоченный орган осуществляет мониторинг достижения результата предоставления субсидий исходя из достижения значений результата предоставления субсидий, определенных дого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вором о предоставлении субсидий,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91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84" w:right="567" w:bottom="1389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rStyle w:val="953"/>
        <w:sz w:val="28"/>
        <w:szCs w:val="28"/>
      </w:rPr>
      <w:framePr w:wrap="auto" w:vAnchor="text" w:hAnchor="margin" w:xAlign="center" w:y="1"/>
    </w:pPr>
    <w:r>
      <w:rPr>
        <w:rStyle w:val="953"/>
        <w:sz w:val="28"/>
        <w:szCs w:val="28"/>
      </w:rPr>
      <w:fldChar w:fldCharType="begin"/>
    </w:r>
    <w:r>
      <w:rPr>
        <w:rStyle w:val="953"/>
        <w:sz w:val="28"/>
        <w:szCs w:val="28"/>
      </w:rPr>
      <w:instrText xml:space="preserve">PAGE  </w:instrText>
    </w:r>
    <w:r>
      <w:rPr>
        <w:rStyle w:val="953"/>
        <w:sz w:val="28"/>
        <w:szCs w:val="28"/>
      </w:rPr>
      <w:fldChar w:fldCharType="separate"/>
    </w:r>
    <w:r>
      <w:rPr>
        <w:rStyle w:val="953"/>
        <w:sz w:val="28"/>
        <w:szCs w:val="28"/>
      </w:rPr>
      <w:t xml:space="preserve">3</w:t>
    </w:r>
    <w:r>
      <w:rPr>
        <w:rStyle w:val="953"/>
        <w:sz w:val="28"/>
        <w:szCs w:val="28"/>
      </w:rPr>
      <w:fldChar w:fldCharType="end"/>
    </w:r>
    <w:r>
      <w:rPr>
        <w:rStyle w:val="953"/>
        <w:sz w:val="28"/>
        <w:szCs w:val="28"/>
      </w:rPr>
    </w:r>
    <w:r>
      <w:rPr>
        <w:rStyle w:val="953"/>
        <w:sz w:val="28"/>
        <w:szCs w:val="28"/>
      </w:rPr>
    </w:r>
  </w:p>
  <w:p>
    <w:pPr>
      <w:pStyle w:val="951"/>
    </w:pPr>
    <w:r/>
    <w:r/>
  </w:p>
  <w:p>
    <w:pPr>
      <w:pStyle w:val="9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12"/>
  </w:num>
  <w:num w:numId="6">
    <w:abstractNumId w:val="0"/>
  </w:num>
  <w:num w:numId="7">
    <w:abstractNumId w:val="18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778"/>
    <w:link w:val="769"/>
    <w:uiPriority w:val="9"/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778"/>
    <w:link w:val="770"/>
    <w:uiPriority w:val="9"/>
    <w:rPr>
      <w:rFonts w:ascii="Arial" w:hAnsi="Arial" w:eastAsia="Arial" w:cs="Arial"/>
      <w:sz w:val="34"/>
    </w:rPr>
  </w:style>
  <w:style w:type="character" w:styleId="736">
    <w:name w:val="Heading 3 Char"/>
    <w:basedOn w:val="778"/>
    <w:link w:val="771"/>
    <w:uiPriority w:val="9"/>
    <w:rPr>
      <w:rFonts w:ascii="Arial" w:hAnsi="Arial" w:eastAsia="Arial" w:cs="Arial"/>
      <w:sz w:val="30"/>
      <w:szCs w:val="30"/>
    </w:rPr>
  </w:style>
  <w:style w:type="character" w:styleId="737">
    <w:name w:val="Heading 4 Char"/>
    <w:basedOn w:val="778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38">
    <w:name w:val="Heading 5 Char"/>
    <w:basedOn w:val="77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39">
    <w:name w:val="Heading 6 Char"/>
    <w:basedOn w:val="778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40">
    <w:name w:val="Heading 7 Char"/>
    <w:basedOn w:val="77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8 Char"/>
    <w:basedOn w:val="778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742">
    <w:name w:val="Heading 9 Char"/>
    <w:basedOn w:val="778"/>
    <w:link w:val="777"/>
    <w:uiPriority w:val="9"/>
    <w:rPr>
      <w:rFonts w:ascii="Arial" w:hAnsi="Arial" w:eastAsia="Arial" w:cs="Arial"/>
      <w:i/>
      <w:iCs/>
      <w:sz w:val="21"/>
      <w:szCs w:val="21"/>
    </w:rPr>
  </w:style>
  <w:style w:type="character" w:styleId="743">
    <w:name w:val="Title Char"/>
    <w:basedOn w:val="778"/>
    <w:link w:val="792"/>
    <w:uiPriority w:val="10"/>
    <w:rPr>
      <w:sz w:val="48"/>
      <w:szCs w:val="48"/>
    </w:rPr>
  </w:style>
  <w:style w:type="character" w:styleId="744">
    <w:name w:val="Subtitle Char"/>
    <w:basedOn w:val="778"/>
    <w:link w:val="794"/>
    <w:uiPriority w:val="11"/>
    <w:rPr>
      <w:sz w:val="24"/>
      <w:szCs w:val="24"/>
    </w:rPr>
  </w:style>
  <w:style w:type="character" w:styleId="745">
    <w:name w:val="Quote Char"/>
    <w:link w:val="796"/>
    <w:uiPriority w:val="29"/>
    <w:rPr>
      <w:i/>
    </w:rPr>
  </w:style>
  <w:style w:type="character" w:styleId="746">
    <w:name w:val="Intense Quote Char"/>
    <w:link w:val="798"/>
    <w:uiPriority w:val="30"/>
    <w:rPr>
      <w:i/>
    </w:rPr>
  </w:style>
  <w:style w:type="table" w:styleId="747">
    <w:name w:val="Plain Table 1"/>
    <w:basedOn w:val="7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7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5 Dark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7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7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6">
    <w:name w:val="Footnote Text Char"/>
    <w:link w:val="930"/>
    <w:uiPriority w:val="99"/>
    <w:rPr>
      <w:sz w:val="18"/>
    </w:rPr>
  </w:style>
  <w:style w:type="character" w:styleId="767">
    <w:name w:val="Endnote Text Char"/>
    <w:link w:val="933"/>
    <w:uiPriority w:val="99"/>
    <w:rPr>
      <w:sz w:val="20"/>
    </w:rPr>
  </w:style>
  <w:style w:type="paragraph" w:styleId="768" w:default="1">
    <w:name w:val="Normal"/>
    <w:qFormat/>
    <w:rPr>
      <w:sz w:val="24"/>
      <w:szCs w:val="24"/>
    </w:rPr>
  </w:style>
  <w:style w:type="paragraph" w:styleId="769">
    <w:name w:val="Heading 1"/>
    <w:basedOn w:val="768"/>
    <w:next w:val="768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0">
    <w:name w:val="Heading 2"/>
    <w:basedOn w:val="768"/>
    <w:next w:val="768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1">
    <w:name w:val="Heading 3"/>
    <w:basedOn w:val="768"/>
    <w:next w:val="768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2">
    <w:name w:val="Heading 4"/>
    <w:basedOn w:val="768"/>
    <w:next w:val="768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next w:val="768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4">
    <w:name w:val="Heading 6"/>
    <w:basedOn w:val="768"/>
    <w:next w:val="768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768"/>
    <w:next w:val="768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768"/>
    <w:next w:val="768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768"/>
    <w:next w:val="768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</w:style>
  <w:style w:type="table" w:styleId="7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0" w:default="1">
    <w:name w:val="No List"/>
    <w:uiPriority w:val="99"/>
    <w:semiHidden/>
    <w:unhideWhenUsed/>
  </w:style>
  <w:style w:type="character" w:styleId="781" w:customStyle="1">
    <w:name w:val="Заголовок 1 Знак"/>
    <w:basedOn w:val="778"/>
    <w:link w:val="769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basedOn w:val="778"/>
    <w:link w:val="770"/>
    <w:uiPriority w:val="9"/>
    <w:rPr>
      <w:rFonts w:ascii="Arial" w:hAnsi="Arial" w:eastAsia="Arial" w:cs="Arial"/>
      <w:sz w:val="34"/>
    </w:rPr>
  </w:style>
  <w:style w:type="character" w:styleId="783" w:customStyle="1">
    <w:name w:val="Заголовок 3 Знак"/>
    <w:basedOn w:val="778"/>
    <w:link w:val="771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basedOn w:val="778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basedOn w:val="77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basedOn w:val="778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basedOn w:val="77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basedOn w:val="778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basedOn w:val="778"/>
    <w:link w:val="777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68"/>
    <w:uiPriority w:val="34"/>
    <w:qFormat/>
    <w:pPr>
      <w:contextualSpacing/>
      <w:ind w:left="720"/>
    </w:pPr>
  </w:style>
  <w:style w:type="paragraph" w:styleId="791">
    <w:name w:val="No Spacing"/>
    <w:uiPriority w:val="1"/>
    <w:qFormat/>
  </w:style>
  <w:style w:type="paragraph" w:styleId="792">
    <w:name w:val="Title"/>
    <w:basedOn w:val="768"/>
    <w:next w:val="768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 w:customStyle="1">
    <w:name w:val="Заголовок Знак"/>
    <w:basedOn w:val="778"/>
    <w:link w:val="792"/>
    <w:uiPriority w:val="10"/>
    <w:rPr>
      <w:sz w:val="48"/>
      <w:szCs w:val="48"/>
    </w:rPr>
  </w:style>
  <w:style w:type="paragraph" w:styleId="794">
    <w:name w:val="Subtitle"/>
    <w:basedOn w:val="768"/>
    <w:next w:val="768"/>
    <w:link w:val="795"/>
    <w:uiPriority w:val="11"/>
    <w:qFormat/>
    <w:pPr>
      <w:spacing w:before="200" w:after="200"/>
    </w:pPr>
  </w:style>
  <w:style w:type="character" w:styleId="795" w:customStyle="1">
    <w:name w:val="Подзаголовок Знак"/>
    <w:basedOn w:val="778"/>
    <w:link w:val="794"/>
    <w:uiPriority w:val="11"/>
    <w:rPr>
      <w:sz w:val="24"/>
      <w:szCs w:val="24"/>
    </w:rPr>
  </w:style>
  <w:style w:type="paragraph" w:styleId="796">
    <w:name w:val="Quote"/>
    <w:basedOn w:val="768"/>
    <w:next w:val="768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Цитата 2 Знак"/>
    <w:link w:val="796"/>
    <w:uiPriority w:val="29"/>
    <w:rPr>
      <w:i/>
    </w:rPr>
  </w:style>
  <w:style w:type="paragraph" w:styleId="798">
    <w:name w:val="Intense Quote"/>
    <w:basedOn w:val="768"/>
    <w:next w:val="768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Выделенная цитата Знак"/>
    <w:link w:val="798"/>
    <w:uiPriority w:val="30"/>
    <w:rPr>
      <w:i/>
    </w:rPr>
  </w:style>
  <w:style w:type="character" w:styleId="800" w:customStyle="1">
    <w:name w:val="Header Char"/>
    <w:basedOn w:val="778"/>
    <w:uiPriority w:val="99"/>
  </w:style>
  <w:style w:type="character" w:styleId="801" w:customStyle="1">
    <w:name w:val="Footer Char"/>
    <w:basedOn w:val="778"/>
    <w:uiPriority w:val="99"/>
  </w:style>
  <w:style w:type="paragraph" w:styleId="802">
    <w:name w:val="Caption"/>
    <w:basedOn w:val="768"/>
    <w:next w:val="768"/>
    <w:link w:val="8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 w:customStyle="1">
    <w:name w:val="Caption Char"/>
    <w:uiPriority w:val="99"/>
  </w:style>
  <w:style w:type="table" w:styleId="804" w:customStyle="1">
    <w:name w:val="Table Grid Light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5" w:customStyle="1">
    <w:name w:val="Таблица простая 11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 w:customStyle="1">
    <w:name w:val="Таблица простая 21"/>
    <w:basedOn w:val="77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 w:customStyle="1">
    <w:name w:val="Таблица простая 3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 w:customStyle="1">
    <w:name w:val="Таблица простая 4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 простая 5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1 светлая1"/>
    <w:basedOn w:val="77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basedOn w:val="7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basedOn w:val="7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basedOn w:val="7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basedOn w:val="7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basedOn w:val="7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basedOn w:val="7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Таблица-сетка 21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1"/>
    <w:basedOn w:val="7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5"/>
    <w:basedOn w:val="7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6"/>
    <w:basedOn w:val="7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Таблица-сетка 31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1"/>
    <w:basedOn w:val="7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5"/>
    <w:basedOn w:val="7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6"/>
    <w:basedOn w:val="7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41"/>
    <w:basedOn w:val="77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basedOn w:val="77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3" w:customStyle="1">
    <w:name w:val="Grid Table 4 - Accent 2"/>
    <w:basedOn w:val="77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Grid Table 4 - Accent 3"/>
    <w:basedOn w:val="77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5" w:customStyle="1">
    <w:name w:val="Grid Table 4 - Accent 4"/>
    <w:basedOn w:val="77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Grid Table 4 - Accent 5"/>
    <w:basedOn w:val="77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7" w:customStyle="1">
    <w:name w:val="Grid Table 4 - Accent 6"/>
    <w:basedOn w:val="77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8" w:customStyle="1">
    <w:name w:val="Таблица-сетка 5 темная1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1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2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3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4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5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6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5" w:customStyle="1">
    <w:name w:val="Таблица-сетка 6 цветная1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basedOn w:val="77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7" w:customStyle="1">
    <w:name w:val="Grid Table 6 Colorful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8" w:customStyle="1">
    <w:name w:val="Grid Table 6 Colorful - Accent 3"/>
    <w:basedOn w:val="77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9" w:customStyle="1">
    <w:name w:val="Grid Table 6 Colorful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0" w:customStyle="1">
    <w:name w:val="Grid Table 6 Colorful - Accent 5"/>
    <w:basedOn w:val="77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 w:customStyle="1">
    <w:name w:val="Grid Table 6 Colorful - Accent 6"/>
    <w:basedOn w:val="77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Таблица-сетка 7 цветная1"/>
    <w:basedOn w:val="77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1"/>
    <w:basedOn w:val="77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5"/>
    <w:basedOn w:val="77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6"/>
    <w:basedOn w:val="77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Список-таблица 1 светлая1"/>
    <w:basedOn w:val="77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basedOn w:val="77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basedOn w:val="77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basedOn w:val="77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basedOn w:val="77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basedOn w:val="77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basedOn w:val="77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Список-таблица 21"/>
    <w:basedOn w:val="77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basedOn w:val="77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basedOn w:val="77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basedOn w:val="77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basedOn w:val="77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basedOn w:val="77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basedOn w:val="77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3" w:customStyle="1">
    <w:name w:val="Список-таблица 31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basedOn w:val="77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Список-таблица 41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basedOn w:val="77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basedOn w:val="77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basedOn w:val="77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basedOn w:val="77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basedOn w:val="77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basedOn w:val="77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Список-таблица 5 темная1"/>
    <w:basedOn w:val="77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basedOn w:val="77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Список-таблица 6 цветная1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basedOn w:val="77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6" w:customStyle="1">
    <w:name w:val="List Table 6 Colorful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7" w:customStyle="1">
    <w:name w:val="List Table 6 Colorful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8" w:customStyle="1">
    <w:name w:val="List Table 6 Colorful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9" w:customStyle="1">
    <w:name w:val="List Table 6 Colorful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0" w:customStyle="1">
    <w:name w:val="List Table 6 Colorful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1" w:customStyle="1">
    <w:name w:val="Список-таблица 7 цветная1"/>
    <w:basedOn w:val="77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1"/>
    <w:basedOn w:val="77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2"/>
    <w:basedOn w:val="77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3"/>
    <w:basedOn w:val="77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4"/>
    <w:basedOn w:val="77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5"/>
    <w:basedOn w:val="77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6"/>
    <w:basedOn w:val="77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ned - Accent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Lined - Accent 2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Lined - Accent 3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Lined - Accent 4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Lined - Accent 5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Lined - Accent 6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 &amp; Lined - Accent"/>
    <w:basedOn w:val="77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basedOn w:val="77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7" w:customStyle="1">
    <w:name w:val="Bordered &amp; Lined - Accent 2"/>
    <w:basedOn w:val="77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8" w:customStyle="1">
    <w:name w:val="Bordered &amp; Lined - Accent 3"/>
    <w:basedOn w:val="77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9" w:customStyle="1">
    <w:name w:val="Bordered &amp; Lined - Accent 4"/>
    <w:basedOn w:val="77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0" w:customStyle="1">
    <w:name w:val="Bordered &amp; Lined - Accent 5"/>
    <w:basedOn w:val="77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1" w:customStyle="1">
    <w:name w:val="Bordered &amp; Lined - Accent 6"/>
    <w:basedOn w:val="77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2" w:customStyle="1">
    <w:name w:val="Bordered"/>
    <w:basedOn w:val="77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basedOn w:val="7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4" w:customStyle="1">
    <w:name w:val="Bordered - Accent 2"/>
    <w:basedOn w:val="7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5" w:customStyle="1">
    <w:name w:val="Bordered - Accent 3"/>
    <w:basedOn w:val="7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6" w:customStyle="1">
    <w:name w:val="Bordered - Accent 4"/>
    <w:basedOn w:val="7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7" w:customStyle="1">
    <w:name w:val="Bordered - Accent 5"/>
    <w:basedOn w:val="7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8" w:customStyle="1">
    <w:name w:val="Bordered - Accent 6"/>
    <w:basedOn w:val="7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000ff" w:themeColor="hyperlink"/>
      <w:u w:val="single"/>
    </w:rPr>
  </w:style>
  <w:style w:type="paragraph" w:styleId="930">
    <w:name w:val="footnote text"/>
    <w:basedOn w:val="768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basedOn w:val="778"/>
    <w:uiPriority w:val="99"/>
    <w:unhideWhenUsed/>
    <w:rPr>
      <w:vertAlign w:val="superscript"/>
    </w:rPr>
  </w:style>
  <w:style w:type="paragraph" w:styleId="933">
    <w:name w:val="endnote text"/>
    <w:basedOn w:val="768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78"/>
    <w:uiPriority w:val="99"/>
    <w:semiHidden/>
    <w:unhideWhenUsed/>
    <w:rPr>
      <w:vertAlign w:val="superscript"/>
    </w:rPr>
  </w:style>
  <w:style w:type="paragraph" w:styleId="936">
    <w:name w:val="toc 1"/>
    <w:basedOn w:val="768"/>
    <w:next w:val="768"/>
    <w:uiPriority w:val="39"/>
    <w:unhideWhenUsed/>
    <w:pPr>
      <w:spacing w:after="57"/>
    </w:pPr>
  </w:style>
  <w:style w:type="paragraph" w:styleId="937">
    <w:name w:val="toc 2"/>
    <w:basedOn w:val="768"/>
    <w:next w:val="768"/>
    <w:uiPriority w:val="39"/>
    <w:unhideWhenUsed/>
    <w:pPr>
      <w:ind w:left="283"/>
      <w:spacing w:after="57"/>
    </w:pPr>
  </w:style>
  <w:style w:type="paragraph" w:styleId="938">
    <w:name w:val="toc 3"/>
    <w:basedOn w:val="768"/>
    <w:next w:val="768"/>
    <w:uiPriority w:val="39"/>
    <w:unhideWhenUsed/>
    <w:pPr>
      <w:ind w:left="567"/>
      <w:spacing w:after="57"/>
    </w:pPr>
  </w:style>
  <w:style w:type="paragraph" w:styleId="939">
    <w:name w:val="toc 4"/>
    <w:basedOn w:val="768"/>
    <w:next w:val="768"/>
    <w:uiPriority w:val="39"/>
    <w:unhideWhenUsed/>
    <w:pPr>
      <w:ind w:left="850"/>
      <w:spacing w:after="57"/>
    </w:pPr>
  </w:style>
  <w:style w:type="paragraph" w:styleId="940">
    <w:name w:val="toc 5"/>
    <w:basedOn w:val="768"/>
    <w:next w:val="768"/>
    <w:uiPriority w:val="39"/>
    <w:unhideWhenUsed/>
    <w:pPr>
      <w:ind w:left="1134"/>
      <w:spacing w:after="57"/>
    </w:pPr>
  </w:style>
  <w:style w:type="paragraph" w:styleId="941">
    <w:name w:val="toc 6"/>
    <w:basedOn w:val="768"/>
    <w:next w:val="768"/>
    <w:uiPriority w:val="39"/>
    <w:unhideWhenUsed/>
    <w:pPr>
      <w:ind w:left="1417"/>
      <w:spacing w:after="57"/>
    </w:pPr>
  </w:style>
  <w:style w:type="paragraph" w:styleId="942">
    <w:name w:val="toc 7"/>
    <w:basedOn w:val="768"/>
    <w:next w:val="768"/>
    <w:uiPriority w:val="39"/>
    <w:unhideWhenUsed/>
    <w:pPr>
      <w:ind w:left="1701"/>
      <w:spacing w:after="57"/>
    </w:pPr>
  </w:style>
  <w:style w:type="paragraph" w:styleId="943">
    <w:name w:val="toc 8"/>
    <w:basedOn w:val="768"/>
    <w:next w:val="768"/>
    <w:uiPriority w:val="39"/>
    <w:unhideWhenUsed/>
    <w:pPr>
      <w:ind w:left="1984"/>
      <w:spacing w:after="57"/>
    </w:pPr>
  </w:style>
  <w:style w:type="paragraph" w:styleId="944">
    <w:name w:val="toc 9"/>
    <w:basedOn w:val="768"/>
    <w:next w:val="768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68"/>
    <w:next w:val="768"/>
    <w:uiPriority w:val="99"/>
    <w:unhideWhenUsed/>
  </w:style>
  <w:style w:type="paragraph" w:styleId="947" w:customStyle="1">
    <w:name w:val="Default"/>
    <w:uiPriority w:val="99"/>
    <w:rPr>
      <w:color w:val="000000"/>
      <w:sz w:val="24"/>
      <w:szCs w:val="24"/>
    </w:rPr>
  </w:style>
  <w:style w:type="paragraph" w:styleId="948" w:customStyle="1">
    <w:name w:val="Знак Знак Знак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9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50">
    <w:name w:val="Table Grid"/>
    <w:basedOn w:val="779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1">
    <w:name w:val="Header"/>
    <w:basedOn w:val="768"/>
    <w:link w:val="952"/>
    <w:uiPriority w:val="99"/>
    <w:pPr>
      <w:tabs>
        <w:tab w:val="center" w:pos="4677" w:leader="none"/>
        <w:tab w:val="right" w:pos="9355" w:leader="none"/>
      </w:tabs>
    </w:pPr>
  </w:style>
  <w:style w:type="character" w:styleId="952" w:customStyle="1">
    <w:name w:val="Верхний колонтитул Знак"/>
    <w:link w:val="951"/>
    <w:uiPriority w:val="99"/>
    <w:rPr>
      <w:rFonts w:cs="Times New Roman"/>
      <w:sz w:val="24"/>
      <w:szCs w:val="24"/>
      <w:lang w:val="ru-RU" w:eastAsia="ru-RU"/>
    </w:rPr>
  </w:style>
  <w:style w:type="character" w:styleId="953">
    <w:name w:val="page number"/>
    <w:uiPriority w:val="99"/>
    <w:rPr>
      <w:rFonts w:cs="Times New Roman"/>
    </w:rPr>
  </w:style>
  <w:style w:type="paragraph" w:styleId="954">
    <w:name w:val="Block Text"/>
    <w:basedOn w:val="768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55" w:customStyle="1">
    <w:name w:val="заголовок 3"/>
    <w:basedOn w:val="768"/>
    <w:next w:val="768"/>
    <w:uiPriority w:val="99"/>
    <w:pPr>
      <w:keepNext/>
      <w:outlineLvl w:val="2"/>
    </w:pPr>
  </w:style>
  <w:style w:type="paragraph" w:styleId="956">
    <w:name w:val="Footer"/>
    <w:basedOn w:val="768"/>
    <w:link w:val="957"/>
    <w:uiPriority w:val="99"/>
    <w:pPr>
      <w:tabs>
        <w:tab w:val="center" w:pos="4677" w:leader="none"/>
        <w:tab w:val="right" w:pos="9355" w:leader="none"/>
      </w:tabs>
    </w:pPr>
  </w:style>
  <w:style w:type="character" w:styleId="957" w:customStyle="1">
    <w:name w:val="Нижний колонтитул Знак"/>
    <w:link w:val="956"/>
    <w:uiPriority w:val="99"/>
    <w:semiHidden/>
    <w:rPr>
      <w:rFonts w:cs="Times New Roman"/>
      <w:sz w:val="24"/>
      <w:szCs w:val="24"/>
    </w:rPr>
  </w:style>
  <w:style w:type="paragraph" w:styleId="958">
    <w:name w:val="Balloon Text"/>
    <w:basedOn w:val="768"/>
    <w:link w:val="959"/>
    <w:uiPriority w:val="99"/>
    <w:semiHidden/>
    <w:rPr>
      <w:rFonts w:ascii="Tahoma" w:hAnsi="Tahoma"/>
      <w:sz w:val="16"/>
      <w:szCs w:val="16"/>
    </w:rPr>
  </w:style>
  <w:style w:type="character" w:styleId="959" w:customStyle="1">
    <w:name w:val="Текст выноски Знак"/>
    <w:link w:val="958"/>
    <w:uiPriority w:val="99"/>
    <w:semiHidden/>
    <w:rPr>
      <w:rFonts w:ascii="Tahoma" w:hAnsi="Tahoma" w:cs="Tahoma"/>
      <w:sz w:val="16"/>
      <w:szCs w:val="16"/>
    </w:rPr>
  </w:style>
  <w:style w:type="paragraph" w:styleId="960" w:customStyle="1">
    <w:name w:val="Знак Знак Знак1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1" w:customStyle="1">
    <w:name w:val="Знак Знак Знак8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2" w:customStyle="1">
    <w:name w:val="Знак Знак Знак2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3" w:customStyle="1">
    <w:name w:val="Знак Знак Знак3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4" w:customStyle="1">
    <w:name w:val="ConsPlusNormal"/>
    <w:rPr>
      <w:rFonts w:ascii="Arial" w:hAnsi="Arial" w:cs="Arial"/>
    </w:rPr>
  </w:style>
  <w:style w:type="paragraph" w:styleId="965" w:customStyle="1">
    <w:name w:val="Знак Знак Знак4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6" w:customStyle="1">
    <w:name w:val="Гипертекстовая ссылка"/>
    <w:uiPriority w:val="99"/>
    <w:rPr>
      <w:rFonts w:cs="Times New Roman"/>
      <w:color w:val="106bbe"/>
    </w:rPr>
  </w:style>
  <w:style w:type="table" w:styleId="967" w:customStyle="1">
    <w:name w:val="Сетка таблицы светлая1"/>
    <w:basedOn w:val="779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styleId="968" w:customStyle="1">
    <w:name w:val="Гиперссылка1"/>
    <w:uiPriority w:val="99"/>
    <w:unhideWhenUsed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51&amp;n=1631522&amp;dst=100007&amp;field=134&amp;date=22.07.2025" TargetMode="External"/><Relationship Id="rId14" Type="http://schemas.openxmlformats.org/officeDocument/2006/relationships/hyperlink" Target="file:///C:/Program%20Files/R7-Office/Editors-2024.4.2/editors/web-apps/apps/documenteditor/main/index.html?_dc=0&amp;lang=ru-RU&amp;frameEditorId=placeholder&amp;parentOrigin=file://#p6" TargetMode="External"/><Relationship Id="rId15" Type="http://schemas.openxmlformats.org/officeDocument/2006/relationships/hyperlink" Target="file:///C:/Program%20Files/R7-Office/Editors-2024.4.2/editors/web-apps/apps/documenteditor/main/index.html?_dc=0&amp;lang=ru-RU&amp;frameEditorId=placeholder&amp;parentOrigin=file://#p5" TargetMode="External"/><Relationship Id="rId16" Type="http://schemas.openxmlformats.org/officeDocument/2006/relationships/hyperlink" Target="https://login.consultant.ru/link/?req=doc&amp;base=LAW&amp;n=482692&amp;date=21.04.2025&amp;dst=101922&amp;field=134" TargetMode="External"/><Relationship Id="rId17" Type="http://schemas.openxmlformats.org/officeDocument/2006/relationships/hyperlink" Target="https://login.consultant.ru/link/?req=doc&amp;base=LAW&amp;n=482692&amp;date=24.04.2025&amp;dst=101922&amp;field=134" TargetMode="External"/><Relationship Id="rId18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" TargetMode="External"/><Relationship Id="rId19" Type="http://schemas.openxmlformats.org/officeDocument/2006/relationships/hyperlink" Target="&#1069;&#1083;&#1077;&#1082;&#1090;&#1088;&#1086;&#1085;&#1085;&#1099;&#1081;" TargetMode="External"/><Relationship Id="rId20" Type="http://schemas.openxmlformats.org/officeDocument/2006/relationships/hyperlink" Target="&#1069;&#1083;&#1077;&#1082;&#1090;&#1088;&#1086;&#1085;&#1085;&#1099;&#1081;" TargetMode="External"/><Relationship Id="rId21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22" Type="http://schemas.openxmlformats.org/officeDocument/2006/relationships/hyperlink" Target="https://internet.garant.ru/document/redirect/12112604/78" TargetMode="External"/><Relationship Id="rId23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24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25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26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fas2</cp:lastModifiedBy>
  <cp:revision>29</cp:revision>
  <dcterms:created xsi:type="dcterms:W3CDTF">2024-09-27T04:31:00Z</dcterms:created>
  <dcterms:modified xsi:type="dcterms:W3CDTF">2025-09-26T05:43:23Z</dcterms:modified>
</cp:coreProperties>
</file>