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2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/>
      <w:r>
        <w:rPr>
          <w:bCs/>
          <w:spacing w:val="-14"/>
          <w:sz w:val="6"/>
          <w:szCs w:val="6"/>
        </w:rPr>
      </w:r>
    </w:p>
    <w:p>
      <w:pPr>
        <w:pStyle w:val="751"/>
        <w:spacing w:before="0" w:after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pStyle w:val="751"/>
        <w:spacing w:before="0" w:after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внесении изменений в постановление Правительства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br w:type="textWrapping" w:clear="all"/>
        <w:t xml:space="preserve">Забайкальского края от 30 декабря 2013 года № 600 «Об утверждении Порядка разработки, формирования, реализации, мониторинга и проведения оценки эффективности государственных программ Забайкальского края»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>
        <w:rPr>
          <w:b/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постановляет</w:t>
      </w:r>
      <w:r>
        <w:rPr>
          <w:b/>
          <w:spacing w:val="20"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1"/>
        <w:ind w:firstLine="708"/>
        <w:jc w:val="both"/>
        <w:spacing w:before="0" w:after="0"/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Внести в постановление Правительства Забайкальского края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  <w:t xml:space="preserve">от 30 декабря 2013 года № 600 «Об утверждении Порядка разработки, формирования, реализации, мониторинга и проведения оценки эффективности государственных программ Забайкальского края»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  <w:t xml:space="preserve">(с изменениями, внесенными постановлениями Правительства Забайкальского края от 4 марта 2015 года № 81, от 12 марта 2015 года № 91, от 15 июня 2015 года № 303, от 25 м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арта 2016 года № 107, от 12 апреля 2016 года № 159, от 20 декабря 2016 года № 472, от 10 октября 2017 года № 405, от 27 марта 2018 года № 97, от 25 июня 2018 года № 238, от 22 января 2019 года № 5, от 15 января 2020 года № 3, от 20 апреля 2020 года № 112,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  <w:t xml:space="preserve">от 11 августа 2022 года № 340, от 29 декабря 2022 года № 676, от 28 декабря 2023 года № 739, от 28 декабря 2024 года № 704, от 25 августа 2025 года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  <w:t xml:space="preserve">№ 487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), следующие изменения: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1) в пункте 2 исключить слова «до 1 августа 2024 года» «и оценке эффективности»;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пункте 5 исключить слова «до 1 февраля 2024 года»;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пункте 6 исключить слова «до 1 марта 2024 года»;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 Порядке разработки, формирования, реализации, мониторинга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оценки эффективности государственных программ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Забайкальского края, утвержденном указанным постановлением: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  <w:lang w:eastAsia="en-US"/>
        </w:rPr>
        <w:t xml:space="preserve">в пункте 2 раздела 1 слова «от 21 июля 2020 года № 474 </w:t>
      </w:r>
      <w:r>
        <w:rPr>
          <w:sz w:val="28"/>
          <w:szCs w:val="28"/>
          <w:lang w:eastAsia="en-US"/>
        </w:rPr>
        <w:br/>
        <w:t xml:space="preserve">«О национальных целях развития Российской Федерации на период до 2030 года» заменить словами «от 7 мая 2024 года № 309 «О национальных целях </w:t>
      </w:r>
      <w:r>
        <w:rPr>
          <w:sz w:val="28"/>
          <w:szCs w:val="28"/>
          <w:lang w:eastAsia="en-US"/>
        </w:rPr>
        <w:t xml:space="preserve">развития Российской Федерации на период до 2030 года и на перспективу до 2036 года»;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б</w:t>
      </w:r>
      <w:r>
        <w:rPr>
          <w:sz w:val="28"/>
          <w:szCs w:val="28"/>
          <w:lang w:eastAsia="en-US"/>
        </w:rPr>
        <w:t xml:space="preserve">) </w:t>
      </w:r>
      <w:r>
        <w:rPr>
          <w:sz w:val="28"/>
          <w:szCs w:val="28"/>
        </w:rPr>
        <w:t xml:space="preserve">абзац первый пункта 67 после слова «формирует» дополнить словами «и утверждает»;</w:t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</w:t>
      </w:r>
      <w:r>
        <w:rPr>
          <w:sz w:val="28"/>
          <w:szCs w:val="28"/>
          <w:lang w:eastAsia="en-US"/>
        </w:rPr>
        <w:t xml:space="preserve">) </w:t>
      </w:r>
      <w:r>
        <w:rPr>
          <w:sz w:val="28"/>
          <w:szCs w:val="28"/>
          <w:lang w:eastAsia="en-US"/>
        </w:rPr>
        <w:t xml:space="preserve">пункт 74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Оценка </w:t>
      </w:r>
      <w:bookmarkStart w:id="1" w:name="_Hlk198479943"/>
      <w:r>
        <w:rPr>
          <w:sz w:val="28"/>
          <w:szCs w:val="28"/>
        </w:rPr>
        <w:t xml:space="preserve">эффективности реализации государственной программы (комплексной программы) </w:t>
      </w:r>
      <w:bookmarkEnd w:id="1"/>
      <w:r>
        <w:rPr>
          <w:sz w:val="28"/>
          <w:szCs w:val="28"/>
        </w:rPr>
        <w:t xml:space="preserve">ответственным исполнителем государственной программы (комплексной программы) проводится в соответствии с критериями и методикой оценки эффективности, установленными в п. 75 Порядка по форме согласно приложению 2 и направляется в Министерство по планированию и развитию Забайкальского края в срок до 1 апреля </w:t>
      </w:r>
      <w:bookmarkStart w:id="2" w:name="_Hlk198544718"/>
      <w:r/>
      <w:bookmarkStart w:id="3" w:name="_Hlk198644998"/>
      <w:r>
        <w:rPr>
          <w:sz w:val="28"/>
          <w:szCs w:val="28"/>
        </w:rPr>
        <w:t xml:space="preserve">года, следующего за отчетным годом.</w:t>
      </w:r>
      <w:bookmarkEnd w:id="2"/>
      <w:r/>
      <w:r>
        <w:rPr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108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Персональную ответственность за эффективность реализации государственной программы (комплексной программы) и ее структурных элементов, невып</w:t>
      </w:r>
      <w:r>
        <w:rPr>
          <w:sz w:val="28"/>
          <w:szCs w:val="28"/>
        </w:rPr>
        <w:t xml:space="preserve">олнение мероприятий (результатов) государственных программ (комплексных программ), недостижение запланированных значений показателей, неосвоение бюджетных ассигнований, несоблюдение сроков формирования и направления годового отчета на рассмотрение и соглас</w:t>
      </w:r>
      <w:r>
        <w:rPr>
          <w:sz w:val="28"/>
          <w:szCs w:val="28"/>
        </w:rPr>
        <w:t xml:space="preserve">ование в соответствующие исполнительные органы, а также за достоверность представляемой в годовом отчете информации, несут руководители исполнительных органов Забайкальского края – ответственных исполнителей государственных программ (комплексных программ).</w:t>
      </w:r>
      <w:bookmarkEnd w:id="3"/>
      <w:r/>
      <w:r>
        <w:rPr>
          <w:sz w:val="28"/>
          <w:szCs w:val="28"/>
        </w:rPr>
      </w:r>
    </w:p>
    <w:p>
      <w:pPr>
        <w:ind w:firstLine="709"/>
        <w:jc w:val="both"/>
        <w:tabs>
          <w:tab w:val="left" w:pos="108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государственных программ (комплексных программ) за 2024 год проводится Министерством по планированию и развитию Забайкальского края.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случае отсутствия данных государственного статистического наблюдения о достижении установленных значений показателей государственной программы (комплексной программы), структурных элементов государственной программы (комплексной</w:t>
      </w:r>
      <w:r>
        <w:rPr>
          <w:sz w:val="28"/>
          <w:szCs w:val="28"/>
        </w:rPr>
        <w:t xml:space="preserve"> программы) ответственный исполнитель государственной программы (комплексной программы) представляет расчет оценки эффективности реализации государственной программы (комплексной программы) на основе прогнозных значений указанных показателей и результатов.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en-US"/>
        </w:rPr>
      </w:r>
    </w:p>
    <w:p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 </w:t>
      </w:r>
      <w:r>
        <w:rPr>
          <w:sz w:val="28"/>
          <w:szCs w:val="28"/>
          <w:lang w:eastAsia="en-US"/>
        </w:rPr>
        <w:t xml:space="preserve">дополнить пунктами 7</w:t>
      </w:r>
      <w:r>
        <w:rPr>
          <w:sz w:val="28"/>
          <w:szCs w:val="28"/>
          <w:lang w:eastAsia="en-US"/>
        </w:rPr>
        <w:t xml:space="preserve">5</w:t>
      </w:r>
      <w:r>
        <w:rPr>
          <w:sz w:val="28"/>
          <w:szCs w:val="28"/>
          <w:lang w:eastAsia="en-US"/>
        </w:rPr>
        <w:t xml:space="preserve">-7</w:t>
      </w:r>
      <w:r>
        <w:rPr>
          <w:sz w:val="28"/>
          <w:szCs w:val="28"/>
          <w:lang w:eastAsia="en-US"/>
        </w:rPr>
        <w:t xml:space="preserve">9</w:t>
      </w:r>
      <w:r>
        <w:rPr>
          <w:sz w:val="28"/>
          <w:szCs w:val="28"/>
          <w:lang w:eastAsia="en-US"/>
        </w:rPr>
        <w:t xml:space="preserve"> следующего содержания:</w:t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rPr>
          <w:sz w:val="28"/>
          <w:szCs w:val="28"/>
        </w:rPr>
      </w:pPr>
      <w:r/>
      <w:bookmarkStart w:id="4" w:name="_Hlk198496570"/>
      <w:r>
        <w:rPr>
          <w:sz w:val="28"/>
          <w:szCs w:val="28"/>
          <w:lang w:eastAsia="en-US"/>
        </w:rPr>
        <w:t xml:space="preserve">«</w:t>
      </w:r>
      <w:bookmarkEnd w:id="4"/>
      <w:r>
        <w:rPr>
          <w:sz w:val="28"/>
          <w:szCs w:val="28"/>
        </w:rPr>
        <w:t xml:space="preserve">75. Критерии оценки эффективности реализации государственной программы (комплексной программы):</w:t>
      </w:r>
      <w:r>
        <w:rPr>
          <w:sz w:val="28"/>
          <w:szCs w:val="28"/>
        </w:rPr>
      </w:r>
    </w:p>
    <w:p>
      <w:pPr>
        <w:ind w:left="709"/>
        <w:tabs>
          <w:tab w:val="left" w:pos="1080" w:leader="none"/>
          <w:tab w:val="left" w:pos="1134" w:leader="none"/>
        </w:tabs>
        <w:rPr>
          <w:highlight w:val="red"/>
        </w:rPr>
      </w:pPr>
      <w:r>
        <w:rPr>
          <w:highlight w:val="red"/>
        </w:rPr>
      </w:r>
      <w:r>
        <w:rPr>
          <w:highlight w:val="red"/>
        </w:rPr>
      </w:r>
    </w:p>
    <w:tbl>
      <w:tblPr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1952"/>
        <w:gridCol w:w="2018"/>
        <w:gridCol w:w="1311"/>
        <w:gridCol w:w="2050"/>
        <w:gridCol w:w="1592"/>
      </w:tblGrid>
      <w:tr>
        <w:tblPrEx/>
        <w:trPr>
          <w:jc w:val="center"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bookmarkStart w:id="5" w:name="_Hlk198500670"/>
            <w:r>
              <w:t xml:space="preserve">№ п/п</w:t>
            </w:r>
            <w:r/>
          </w:p>
        </w:tc>
        <w:tc>
          <w:tcPr>
            <w:tcW w:w="195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Наименование критерия оценки</w:t>
            </w:r>
            <w:r/>
          </w:p>
        </w:tc>
        <w:tc>
          <w:tcPr>
            <w:gridSpan w:val="2"/>
            <w:tcW w:w="351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bookmarkStart w:id="6" w:name="_Hlk198489877"/>
            <w:r>
              <w:t xml:space="preserve">Значения показателей, соответствующих критерию оценки</w:t>
            </w:r>
            <w:bookmarkEnd w:id="6"/>
            <w:r/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Балльная оценка показателей, соответствующих критерию оценки</w:t>
            </w:r>
            <w:r/>
          </w:p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(</w:t>
            </w:r>
            <w:r>
              <w:t xml:space="preserve">Бп</w:t>
            </w:r>
            <w:r>
              <w:t xml:space="preserve">)</w:t>
            </w:r>
            <w:r/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Весовой коэффициент критерия оценки</w:t>
            </w:r>
            <w:r/>
          </w:p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(</w:t>
            </w:r>
            <w:r>
              <w:t xml:space="preserve">Вк</w:t>
            </w:r>
            <w:r>
              <w:t xml:space="preserve">)</w:t>
            </w:r>
            <w:bookmarkEnd w:id="5"/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1</w:t>
            </w:r>
            <w:r/>
          </w:p>
        </w:tc>
        <w:tc>
          <w:tcPr>
            <w:tcW w:w="195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2</w:t>
            </w:r>
            <w:r/>
          </w:p>
        </w:tc>
        <w:tc>
          <w:tcPr>
            <w:gridSpan w:val="2"/>
            <w:tcW w:w="351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3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4</w:t>
            </w:r>
            <w:r/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5</w:t>
            </w:r>
            <w:r/>
          </w:p>
        </w:tc>
      </w:tr>
      <w:tr>
        <w:tblPrEx/>
        <w:trPr>
          <w:jc w:val="center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473"/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restart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>
              <w:t xml:space="preserve">Достижение показателей государственной программы </w:t>
            </w:r>
            <w:r>
              <w:t xml:space="preserve">(комплексной программы)</w:t>
            </w:r>
            <w:r/>
          </w:p>
        </w:tc>
        <w:tc>
          <w:tcPr>
            <w:tcW w:w="2049" w:type="dxa"/>
            <w:vMerge w:val="restart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>
              <w:t xml:space="preserve">Доля достигнутых показателей государственной </w:t>
            </w:r>
            <w:r>
              <w:t xml:space="preserve">программы (комплексной программы)</w:t>
            </w:r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100%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100</w:t>
            </w:r>
            <w:r/>
          </w:p>
        </w:tc>
        <w:tc>
          <w:tcPr>
            <w:tcW w:w="15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0,3</w:t>
            </w:r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ind w:left="473" w:hanging="360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80% – </w:t>
            </w:r>
            <w:r/>
          </w:p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99,99%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80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ind w:left="473" w:hanging="360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50% – </w:t>
            </w:r>
            <w:r>
              <w:t xml:space="preserve">79,99%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60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ind w:left="473" w:hanging="360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менее 49,99%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473"/>
              <w:jc w:val="both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restart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bookmarkStart w:id="7" w:name="_Hlk198651912"/>
            <w:r>
              <w:t xml:space="preserve">Прохождение контрольных точек структурных элементов государственной программы</w:t>
            </w:r>
            <w:bookmarkEnd w:id="7"/>
            <w:r>
              <w:t xml:space="preserve"> (комплексной программы)</w:t>
            </w:r>
            <w:r/>
          </w:p>
        </w:tc>
        <w:tc>
          <w:tcPr>
            <w:tcW w:w="2049" w:type="dxa"/>
            <w:vMerge w:val="restart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>
              <w:t xml:space="preserve">Доля пройденных контрольных точек структурных элементов государственной программы (комплексной программы) в установленные сроки</w:t>
            </w:r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100%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100</w:t>
            </w:r>
            <w:r/>
          </w:p>
        </w:tc>
        <w:tc>
          <w:tcPr>
            <w:tcW w:w="15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0,2</w:t>
            </w:r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ind w:left="473" w:hanging="360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80% – 99,99%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80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ind w:left="473" w:hanging="360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50% – 79,99%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60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ind w:left="473" w:hanging="360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менее 49,99%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473"/>
              <w:jc w:val="both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restart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>
              <w:t xml:space="preserve">Выполнение (достижение) мероприятий (результатов) структурных элементов государственной программы (комплексной программы)</w:t>
            </w:r>
            <w:r/>
          </w:p>
        </w:tc>
        <w:tc>
          <w:tcPr>
            <w:tcW w:w="2049" w:type="dxa"/>
            <w:vMerge w:val="restart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>
              <w:t xml:space="preserve">Доля выполненных (достигнутых) мероприятий (результатов) структурных элементов государственной программы (комплексной программы)</w:t>
            </w:r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Более 90%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100</w:t>
            </w:r>
            <w:r/>
          </w:p>
        </w:tc>
        <w:tc>
          <w:tcPr>
            <w:tcW w:w="15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0,3</w:t>
            </w:r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ind w:left="473" w:hanging="360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60% – 89,99%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70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ind w:left="473" w:hanging="360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Менее 59,99%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473"/>
              <w:jc w:val="both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restart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bookmarkStart w:id="8" w:name="_Hlk198652027"/>
            <w:r>
              <w:t xml:space="preserve">Уровень эффективности финансового управления</w:t>
            </w:r>
            <w:bookmarkEnd w:id="8"/>
            <w:r/>
            <w:r/>
          </w:p>
        </w:tc>
        <w:tc>
          <w:tcPr>
            <w:tcW w:w="2049" w:type="dxa"/>
            <w:vMerge w:val="restart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>
              <w:t xml:space="preserve">Оценка кассового исполнения расходов к уточненному плану бюджетных ассигнований на 31 декабря отчетного года</w:t>
            </w:r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Более 95%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100</w:t>
            </w:r>
            <w:r/>
          </w:p>
        </w:tc>
        <w:tc>
          <w:tcPr>
            <w:tcW w:w="15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0,2</w:t>
            </w:r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90% – 94,99%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80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80% – 89,99%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60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50% – 79,99%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40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954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2049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Менее 49,99%</w:t>
            </w:r>
            <w:r/>
          </w:p>
        </w:tc>
        <w:tc>
          <w:tcPr>
            <w:tcW w:w="1862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0</w:t>
            </w:r>
            <w:r/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</w:tbl>
    <w:p>
      <w:pPr>
        <w:pStyle w:val="938"/>
        <w:ind w:firstLine="709"/>
        <w:jc w:val="both"/>
        <w:spacing w:before="12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оценки каждого критерия оценки (К) производится путем умножения соответствующей балльной оценки показателя, соответствующего критерию оценки (</w:t>
      </w:r>
      <w:r>
        <w:rPr>
          <w:rFonts w:ascii="Times New Roman" w:hAnsi="Times New Roman" w:cs="Times New Roman"/>
          <w:sz w:val="28"/>
          <w:szCs w:val="28"/>
        </w:rPr>
        <w:t xml:space="preserve">Бп</w:t>
      </w:r>
      <w:r>
        <w:rPr>
          <w:rFonts w:ascii="Times New Roman" w:hAnsi="Times New Roman" w:cs="Times New Roman"/>
          <w:sz w:val="28"/>
          <w:szCs w:val="28"/>
        </w:rPr>
        <w:t xml:space="preserve">), на весовой коэффициент критерия оценки (</w:t>
      </w:r>
      <w:r>
        <w:rPr>
          <w:rFonts w:ascii="Times New Roman" w:hAnsi="Times New Roman" w:cs="Times New Roman"/>
          <w:sz w:val="28"/>
          <w:szCs w:val="28"/>
        </w:rPr>
        <w:t xml:space="preserve">Вк</w:t>
      </w:r>
      <w:r>
        <w:rPr>
          <w:rFonts w:ascii="Times New Roman" w:hAnsi="Times New Roman" w:cs="Times New Roman"/>
          <w:sz w:val="28"/>
          <w:szCs w:val="28"/>
        </w:rPr>
        <w:t xml:space="preserve">) по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jc w:val="center"/>
        <w:spacing w:before="120" w:after="12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= </w:t>
      </w:r>
      <w:r>
        <w:rPr>
          <w:rFonts w:ascii="Times New Roman" w:hAnsi="Times New Roman" w:cs="Times New Roman"/>
          <w:sz w:val="28"/>
          <w:szCs w:val="28"/>
        </w:rPr>
        <w:t xml:space="preserve">Бп</w:t>
      </w:r>
      <w:r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Times New Roman" w:hAnsi="Times New Roman" w:cs="Times New Roman"/>
          <w:sz w:val="28"/>
          <w:szCs w:val="28"/>
        </w:rPr>
        <w:t xml:space="preserve">Вк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Балльная оценка показателя, соответствующего критерию оценки, определяется в соответствии с достигнутым значением показателя, соответствующего критерию оценки.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оценки каждого критерия оценки определяется итоговый показатель оценки эффективности государственной программы (комплексной программы) (Е).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9" w:name="_Hlk207123352"/>
      <w:r/>
      <w:bookmarkStart w:id="10" w:name="_Hlk198490696"/>
      <w:r>
        <w:rPr>
          <w:rFonts w:ascii="Times New Roman" w:hAnsi="Times New Roman" w:cs="Times New Roman"/>
          <w:sz w:val="28"/>
          <w:szCs w:val="28"/>
        </w:rPr>
        <w:t xml:space="preserve">Итоговый показатель оценки эффективности государственной программы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(комплексной программы) (Е) определяется путем суммирования </w:t>
      </w:r>
      <w:r>
        <w:rPr>
          <w:rFonts w:ascii="Times New Roman" w:hAnsi="Times New Roman" w:cs="Times New Roman"/>
          <w:sz w:val="28"/>
          <w:szCs w:val="28"/>
        </w:rPr>
        <w:t xml:space="preserve">оценок по всем критериям по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jc w:val="center"/>
        <w:spacing w:before="12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 = К1 + К2 + К3 + К4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spacing w:before="12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 (комплексная программа) признается: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эффективной – </w:t>
      </w:r>
      <w:bookmarkStart w:id="11" w:name="_Hlk198490741"/>
      <w:r>
        <w:rPr>
          <w:rFonts w:ascii="Times New Roman" w:hAnsi="Times New Roman" w:cs="Times New Roman"/>
          <w:sz w:val="28"/>
          <w:szCs w:val="28"/>
        </w:rPr>
        <w:t xml:space="preserve">при значении итогового показателя оценки государственной программы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(комплексной программы) от 100 до 90 баллов включительно;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 эффективной – при значении итогового показателя оценки государственной программы (комплексной программы) от 89 до 70 баллов включительно;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неэффективной – при значении итогового показателя оценки государственной программы (комплексной программы) менее 70 баллов.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 При проведении оценки эффективности государственной программы (комплексной программы):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учитываются показатели государственной программы (комплексной программы), мероприятия (результаты) структурных элементов государственной программы (комплексной программы), действующие на конец отчетного периода;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значений показателей критериев осуществляется с точностью до двух знаков после запятой.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 Министерство по планированию и развитию Забайкальского края в течение 20 рабочих дней со дня представления ответственным исполнителем государственной программы (комплексной программы) оценки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(комплексной программы) осуществляет рассмотрение материалов, </w:t>
      </w: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</w:rPr>
        <w:t xml:space="preserve">указанных в п. 68 Порядка, и проверку проведения </w:t>
      </w:r>
      <w:bookmarkStart w:id="12" w:name="_Hlk202351458"/>
      <w:r>
        <w:rPr>
          <w:rFonts w:ascii="Times New Roman" w:hAnsi="Times New Roman" w:cs="Times New Roman"/>
          <w:sz w:val="28"/>
          <w:szCs w:val="28"/>
        </w:rPr>
        <w:t xml:space="preserve">расчетов оценки эффективности государственной программы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(комплексной программы) в соответствии с п. 74 Порядка и при необходимости обеспечивает </w:t>
      </w:r>
      <w:bookmarkStart w:id="13" w:name="_Hlk202351586"/>
      <w:r>
        <w:rPr>
          <w:rFonts w:ascii="Times New Roman" w:hAnsi="Times New Roman" w:cs="Times New Roman"/>
          <w:sz w:val="28"/>
          <w:szCs w:val="28"/>
        </w:rPr>
        <w:t xml:space="preserve">корректировку расчетов оценки эффективности государственной программы</w:t>
      </w:r>
      <w:bookmarkEnd w:id="13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202351516"/>
      <w:r>
        <w:rPr>
          <w:rFonts w:ascii="Times New Roman" w:hAnsi="Times New Roman" w:cs="Times New Roman"/>
          <w:sz w:val="28"/>
          <w:szCs w:val="28"/>
        </w:rPr>
        <w:t xml:space="preserve">(комплексной программы) ответственным исполнителем государственной программы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 (комплексной программы).</w:t>
      </w:r>
      <w:r>
        <w:rPr>
          <w:rFonts w:ascii="Times New Roman" w:hAnsi="Times New Roman" w:cs="Times New Roman"/>
          <w:sz w:val="28"/>
          <w:szCs w:val="28"/>
          <w:highlight w:val="red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по планированию и развитию Забайкальского края в течение 3 рабочих дней со дня об</w:t>
      </w:r>
      <w:r>
        <w:rPr>
          <w:rFonts w:ascii="Times New Roman" w:hAnsi="Times New Roman" w:cs="Times New Roman"/>
          <w:sz w:val="28"/>
          <w:szCs w:val="28"/>
        </w:rPr>
        <w:t xml:space="preserve">наружения несоответствия расчета оценки эффективности государственной программы (комплексной программы) </w:t>
        <w:br/>
        <w:t xml:space="preserve">п. 75 Порядка направляет уведомление ответственному исполнителю государственной программы (комплексной программы) о необходимости корректировки расчета.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государственной программы (комплексной программы) производит </w:t>
      </w:r>
      <w:bookmarkStart w:id="15" w:name="_Hlk202352418"/>
      <w:r>
        <w:rPr>
          <w:rFonts w:ascii="Times New Roman" w:hAnsi="Times New Roman" w:cs="Times New Roman"/>
          <w:sz w:val="28"/>
          <w:szCs w:val="28"/>
        </w:rPr>
        <w:t xml:space="preserve">корректировку расчета оценки эффективности государственной программы 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(комплексной программы)</w:t>
      </w:r>
      <w:r>
        <w:rPr>
          <w:rFonts w:ascii="Times New Roman" w:hAnsi="Times New Roman" w:cs="Times New Roman"/>
          <w:sz w:val="28"/>
          <w:szCs w:val="28"/>
        </w:rPr>
        <w:t xml:space="preserve"> и в течение 3 рабочих дней со дня получения уведомления о необходимости корректировки направляет в Министерство по планированию и развитию Забайкальского края скорректированный расчет оценки эффективности государственной программы (комплексной программы):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после корректировки расчетов оценки эффективности государственной программы (комплек</w:t>
      </w:r>
      <w:r>
        <w:rPr>
          <w:rFonts w:ascii="Times New Roman" w:hAnsi="Times New Roman" w:cs="Times New Roman"/>
          <w:sz w:val="28"/>
          <w:szCs w:val="28"/>
        </w:rPr>
        <w:t xml:space="preserve">сной программы) итоговый показатель оценки эффективности государственной программы (комплексной программы) составит от 89 до 70 баллов включительно, ответственный исполнитель государственной программы (комплексной программы) в том числе направляет в Минист</w:t>
      </w:r>
      <w:r>
        <w:rPr>
          <w:rFonts w:ascii="Times New Roman" w:hAnsi="Times New Roman" w:cs="Times New Roman"/>
          <w:sz w:val="28"/>
          <w:szCs w:val="28"/>
        </w:rPr>
        <w:t xml:space="preserve">ерство по планированию и развитию Забайкальского края пояснительную записку с обоснованием недостаточной эффективности государственной программы (комплексной программы), включая предложения о корректировке государственной программы (комплексной программы);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после корректировки расчетов оценки эффективности государственной программы (комплексной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программы) итоговый показатель оценки эффективности государственной программы (комплексной программы) составит менее 70 баллов, ответственный исполнитель государственной программы (комплексной программы) в том числе направляет в Министерство по планировани</w:t>
      </w:r>
      <w:r>
        <w:rPr>
          <w:rFonts w:ascii="Times New Roman" w:hAnsi="Times New Roman" w:cs="Times New Roman"/>
          <w:sz w:val="28"/>
          <w:szCs w:val="28"/>
        </w:rPr>
        <w:t xml:space="preserve">ю и развитию Забайкальского края пояснительную записку с обоснованием неэффективности государственной программы (комплексной программы), включая предложения о корректировке государственной программы (комплексной программы) и (или) завершении ее реализации.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 В случае непредставления в сроки, установленные в </w:t>
      </w:r>
      <w:hyperlink w:tooltip="6. Оценка эффективности Программы проводится ответственным исполнителем Программы в соответствии с критериями, установленными в пункте 7 настоящего Порядка, и направляется в Министерство экономики Республики Бурятия в срок до 15 апреля года, следующего за отче" w:anchor="P48" w:history="1">
        <w:r>
          <w:rPr>
            <w:rFonts w:ascii="Times New Roman" w:hAnsi="Times New Roman" w:cs="Times New Roman"/>
            <w:sz w:val="28"/>
            <w:szCs w:val="28"/>
          </w:rPr>
          <w:t xml:space="preserve">74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ответственным исполнителем государственной программы (комплексной программы) оценки эффективности государственной программы (комплексной программы) соответствующая государственная программа (комплексная программа) признается неэффективной.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79. </w:t>
      </w:r>
      <w:r>
        <w:rPr>
          <w:rFonts w:ascii="Times New Roman" w:hAnsi="Times New Roman" w:cs="Times New Roman"/>
          <w:sz w:val="28"/>
          <w:szCs w:val="28"/>
        </w:rPr>
        <w:t xml:space="preserve">Признание государственной программы (комплексной программы) неэффективной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основанием для принятия решений на Правительственной комиссии по повышению эффективности бюджетных расходов, утвержденной распоряжением Правительства Забайкальского края от 29 мая 2024 года № 229-р, о возможном прекращении или об изменении ранее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государственной программы (комплексной программы), начиная с очередного финансового года, в том числе необходимости сокращения объема бюджетных ассигнований на финансовое обеспечение реализации государственной программы (комплексной программы)</w:t>
      </w:r>
      <w:r>
        <w:t xml:space="preserve">, </w:t>
      </w:r>
      <w:r>
        <w:rPr>
          <w:rFonts w:ascii="Times New Roman CYR" w:hAnsi="Times New Roman CYR" w:eastAsia="Times New Roman CYR" w:cs="Times New Roman CYR"/>
          <w:sz w:val="28"/>
          <w:szCs w:val="28"/>
          <w:lang w:bidi="ru-RU"/>
        </w:rPr>
        <w:t xml:space="preserve">а также о наложении (</w:t>
      </w:r>
      <w:r>
        <w:rPr>
          <w:rFonts w:ascii="Times New Roman CYR" w:hAnsi="Times New Roman CYR" w:eastAsia="Times New Roman CYR" w:cs="Times New Roman CYR"/>
          <w:sz w:val="28"/>
          <w:szCs w:val="28"/>
          <w:lang w:bidi="ru-RU"/>
        </w:rPr>
        <w:t xml:space="preserve">представлении Губернатору Забайкальского края предложений о наложении) на руководителей исполнительных органов Забайкальского края, иных главных распорядителей средств бюджета Забайкальского края и (или) бюджетов территориальных государственных внебюджетны</w:t>
      </w:r>
      <w:r>
        <w:rPr>
          <w:rFonts w:ascii="Times New Roman CYR" w:hAnsi="Times New Roman CYR" w:eastAsia="Times New Roman CYR" w:cs="Times New Roman CYR"/>
          <w:sz w:val="28"/>
          <w:szCs w:val="28"/>
          <w:lang w:bidi="ru-RU"/>
        </w:rPr>
        <w:t xml:space="preserve">х фондов – ответственных исполнителей, соисполнителей и участников государственной программы (комплексной программы) дисциплинарного взыскания в связи с недостижением запланированных результатов реализации государственной программы (комплексной программы).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 дополнить Приложением 2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938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8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8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разработки, формирования, реализации, мониторинга и проведения оценки эффективности государственных программ Забайкальского края</w:t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93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эффективности реализации государственной программы Забайкальского края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_______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jc w:val="center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851"/>
        <w:gridCol w:w="850"/>
        <w:gridCol w:w="1417"/>
        <w:gridCol w:w="1702"/>
        <w:gridCol w:w="1275"/>
        <w:gridCol w:w="966"/>
      </w:tblGrid>
      <w:tr>
        <w:tblPrEx/>
        <w:trPr>
          <w:jc w:val="center"/>
          <w:trHeight w:val="690"/>
        </w:trPr>
        <w:tc>
          <w:tcPr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Наименование критерия оценки</w:t>
            </w:r>
            <w:r/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Наименование, показателей, соответствующих критерию оценки</w:t>
            </w:r>
            <w:r/>
          </w:p>
        </w:tc>
        <w:tc>
          <w:tcPr>
            <w:gridSpan w:val="3"/>
            <w:tcW w:w="31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Значения показателей, соответствующих критерию оценки</w:t>
            </w:r>
            <w:r/>
          </w:p>
        </w:tc>
        <w:tc>
          <w:tcP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Балльная оценка показателей, соответствующих критерию оценки</w:t>
            </w:r>
            <w:r/>
          </w:p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(</w:t>
            </w:r>
            <w:r>
              <w:t xml:space="preserve">Бп</w:t>
            </w:r>
            <w:r>
              <w:t xml:space="preserve">)</w:t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Весовой коэффициент критерия оценки</w:t>
            </w:r>
            <w:r/>
          </w:p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(</w:t>
            </w:r>
            <w:r>
              <w:t xml:space="preserve">Вк</w:t>
            </w:r>
            <w:r>
              <w:t xml:space="preserve">)</w:t>
            </w:r>
            <w:r/>
          </w:p>
        </w:tc>
        <w:tc>
          <w:tcPr>
            <w:tcW w:w="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Балльная оценка критерия</w:t>
            </w:r>
            <w:r/>
          </w:p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(К)</w:t>
            </w:r>
            <w:r/>
          </w:p>
        </w:tc>
      </w:tr>
      <w:tr>
        <w:tblPrEx/>
        <w:trPr>
          <w:jc w:val="center"/>
          <w:trHeight w:val="690"/>
        </w:trPr>
        <w:tc>
          <w:tcPr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План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Факт 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Достижение </w:t>
            </w:r>
            <w:r>
              <w:rPr>
                <w:sz w:val="22"/>
                <w:szCs w:val="22"/>
              </w:rPr>
              <w:t xml:space="preserve">(4/3*100%)</w:t>
            </w:r>
            <w:r/>
          </w:p>
        </w:tc>
        <w:tc>
          <w:tcPr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966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  <w:trHeight w:val="729"/>
        </w:trPr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2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5</w:t>
            </w:r>
            <w:r/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7</w:t>
            </w:r>
            <w:r/>
          </w:p>
        </w:tc>
        <w:tc>
          <w:tcPr>
            <w:tcW w:w="96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>
              <w:t xml:space="preserve">8</w:t>
            </w:r>
            <w:r/>
          </w:p>
        </w:tc>
      </w:tr>
      <w:tr>
        <w:tblPrEx/>
        <w:trPr>
          <w:jc w:val="center"/>
        </w:trPr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9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9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9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  <w:tr>
        <w:tblPrEx/>
        <w:trPr>
          <w:jc w:val="center"/>
        </w:trPr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  <w:tc>
          <w:tcPr>
            <w:tcW w:w="966" w:type="dxa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  <w:tab w:val="left" w:pos="1134" w:leader="none"/>
              </w:tabs>
            </w:pPr>
            <w:r/>
            <w:r/>
          </w:p>
        </w:tc>
      </w:tr>
    </w:tbl>
    <w:p>
      <w:pPr>
        <w:pStyle w:val="93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776"/>
        <w:contextualSpacing w:val="0"/>
        <w:ind w:left="709" w:hanging="709"/>
        <w:jc w:val="both"/>
        <w:tabs>
          <w:tab w:val="left" w:pos="-1701" w:leader="none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И.о. первого заместитель </w:t>
      </w:r>
      <w:r>
        <w:rPr>
          <w:sz w:val="28"/>
          <w:szCs w:val="28"/>
        </w:rPr>
      </w:r>
    </w:p>
    <w:p>
      <w:pPr>
        <w:pStyle w:val="776"/>
        <w:contextualSpacing w:val="0"/>
        <w:ind w:left="709" w:hanging="709"/>
        <w:jc w:val="both"/>
        <w:tabs>
          <w:tab w:val="left" w:pos="-1701" w:leader="none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</w:p>
    <w:p>
      <w:pPr>
        <w:jc w:val="both"/>
        <w:tabs>
          <w:tab w:val="right" w:pos="93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А.И.Кефер</w:t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00000000000000000"/>
  </w:font>
  <w:font w:name="Symbol">
    <w:panose1 w:val="05050102010706020507"/>
  </w:font>
  <w:font w:name="Trebuchet MS">
    <w:panose1 w:val="020B0603020202020204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</w:lvl>
    <w:lvl w:ilvl="1">
      <w:start w:val="19"/>
      <w:numFmt w:val="decimal"/>
      <w:isLgl w:val="false"/>
      <w:suff w:val="tab"/>
      <w:lvlText w:val="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4" w:hanging="414"/>
        <w:tabs>
          <w:tab w:val="num" w:pos="41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114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8" w:hanging="298"/>
        <w:tabs>
          <w:tab w:val="num" w:pos="658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к"/>
      <w:lvlJc w:val="left"/>
      <w:pPr>
        <w:ind w:left="720" w:hanging="360"/>
        <w:tabs>
          <w:tab w:val="num" w:pos="720" w:leader="none"/>
        </w:tabs>
      </w:pPr>
    </w:lvl>
    <w:lvl w:ilvl="1">
      <w:start w:val="52"/>
      <w:numFmt w:val="decimal"/>
      <w:isLgl w:val="false"/>
      <w:suff w:val="tab"/>
      <w:lvlText w:val="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7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в"/>
      <w:lvlJc w:val="left"/>
      <w:pPr>
        <w:ind w:left="720" w:hanging="360"/>
        <w:tabs>
          <w:tab w:val="num" w:pos="720" w:leader="none"/>
        </w:tabs>
      </w:pPr>
    </w:lvl>
    <w:lvl w:ilvl="1">
      <w:start w:val="11"/>
      <w:numFmt w:val="decimal"/>
      <w:isLgl w:val="false"/>
      <w:suff w:val="tab"/>
      <w:lvlText w:val="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9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tabs>
          <w:tab w:val="num" w:pos="873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17" w:hanging="357"/>
        <w:tabs>
          <w:tab w:val="num" w:pos="717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9" w:hanging="114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36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8" w:hanging="298"/>
        <w:tabs>
          <w:tab w:val="num" w:pos="298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2">
    <w:multiLevelType w:val="hybridMultilevel"/>
    <w:lvl w:ilvl="0">
      <w:start w:val="95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8" w:hanging="298"/>
        <w:tabs>
          <w:tab w:val="num" w:pos="41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tabs>
          <w:tab w:val="num" w:pos="873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8" w:hanging="298"/>
        <w:tabs>
          <w:tab w:val="num" w:pos="298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/>
        <w:sz w:val="28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  <w:rPr>
        <w:rFonts w:ascii="Times New Roman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  <w:rPr>
        <w:rFonts w:ascii="Times New Roman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  <w:rPr>
        <w:rFonts w:ascii="Times New Roman"/>
        <w:u w:val="none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  <w:rPr>
        <w:rFonts w:ascii="Times New Roman"/>
        <w:u w:val="no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  <w:rPr>
        <w:rFonts w:ascii="Times New Roman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  <w:rPr>
        <w:rFonts w:ascii="Times New Roman"/>
        <w:u w:val="none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  <w:rPr>
        <w:rFonts w:ascii="Times New Roman"/>
        <w:u w:val="no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  <w:rPr>
        <w:rFonts w:ascii="Times New Roman"/>
        <w:u w:val="none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8" w:hanging="298"/>
        <w:tabs>
          <w:tab w:val="num" w:pos="41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tabs>
          <w:tab w:val="num" w:pos="357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8" w:hanging="298"/>
        <w:tabs>
          <w:tab w:val="num" w:pos="527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8" w:hanging="298"/>
        <w:tabs>
          <w:tab w:val="num" w:pos="527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8" w:hanging="298"/>
        <w:tabs>
          <w:tab w:val="num" w:pos="658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в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31"/>
  </w:num>
  <w:num w:numId="5">
    <w:abstractNumId w:val="13"/>
  </w:num>
  <w:num w:numId="6">
    <w:abstractNumId w:val="24"/>
  </w:num>
  <w:num w:numId="7">
    <w:abstractNumId w:val="10"/>
  </w:num>
  <w:num w:numId="8">
    <w:abstractNumId w:val="32"/>
  </w:num>
  <w:num w:numId="9">
    <w:abstractNumId w:val="1"/>
  </w:num>
  <w:num w:numId="10">
    <w:abstractNumId w:val="30"/>
  </w:num>
  <w:num w:numId="11">
    <w:abstractNumId w:val="14"/>
  </w:num>
  <w:num w:numId="12">
    <w:abstractNumId w:val="0"/>
  </w:num>
  <w:num w:numId="13">
    <w:abstractNumId w:val="16"/>
  </w:num>
  <w:num w:numId="14">
    <w:abstractNumId w:val="33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2"/>
  </w:num>
  <w:num w:numId="18">
    <w:abstractNumId w:val="26"/>
  </w:num>
  <w:num w:numId="19">
    <w:abstractNumId w:val="36"/>
  </w:num>
  <w:num w:numId="20">
    <w:abstractNumId w:val="39"/>
  </w:num>
  <w:num w:numId="21">
    <w:abstractNumId w:val="5"/>
  </w:num>
  <w:num w:numId="22">
    <w:abstractNumId w:val="27"/>
  </w:num>
  <w:num w:numId="23">
    <w:abstractNumId w:val="18"/>
  </w:num>
  <w:num w:numId="24">
    <w:abstractNumId w:val="38"/>
  </w:num>
  <w:num w:numId="25">
    <w:abstractNumId w:val="37"/>
  </w:num>
  <w:num w:numId="26">
    <w:abstractNumId w:val="35"/>
  </w:num>
  <w:num w:numId="27">
    <w:abstractNumId w:val="23"/>
  </w:num>
  <w:num w:numId="28">
    <w:abstractNumId w:val="3"/>
  </w:num>
  <w:num w:numId="29">
    <w:abstractNumId w:val="4"/>
  </w:num>
  <w:num w:numId="30">
    <w:abstractNumId w:val="28"/>
  </w:num>
  <w:num w:numId="31">
    <w:abstractNumId w:val="21"/>
  </w:num>
  <w:num w:numId="32">
    <w:abstractNumId w:val="7"/>
  </w:num>
  <w:num w:numId="33">
    <w:abstractNumId w:val="9"/>
  </w:num>
  <w:num w:numId="34">
    <w:abstractNumId w:val="29"/>
  </w:num>
  <w:num w:numId="35">
    <w:abstractNumId w:val="25"/>
  </w:num>
  <w:num w:numId="36">
    <w:abstractNumId w:val="22"/>
  </w:num>
  <w:num w:numId="37">
    <w:abstractNumId w:val="40"/>
    <w:lvlOverride w:ilvl="1">
      <w:startOverride w:val="2"/>
    </w:lvlOverride>
  </w:num>
  <w:num w:numId="38">
    <w:abstractNumId w:val="8"/>
    <w:lvlOverride w:ilvl="1">
      <w:startOverride w:val="11"/>
    </w:lvlOverride>
  </w:num>
  <w:num w:numId="39">
    <w:abstractNumId w:val="2"/>
    <w:lvlOverride w:ilvl="1">
      <w:startOverride w:val="19"/>
    </w:lvlOverride>
  </w:num>
  <w:num w:numId="40">
    <w:abstractNumId w:val="6"/>
    <w:lvlOverride w:ilvl="1">
      <w:startOverride w:val="52"/>
    </w:lvlOverride>
  </w:num>
  <w:num w:numId="41">
    <w:abstractNumId w:val="1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  <w:rPr>
      <w:rFonts w:ascii="Times New Roman" w:hAnsi="Times New Roman"/>
      <w:sz w:val="24"/>
      <w:szCs w:val="24"/>
    </w:rPr>
  </w:style>
  <w:style w:type="paragraph" w:styleId="751">
    <w:name w:val="Heading 1"/>
    <w:basedOn w:val="750"/>
    <w:next w:val="750"/>
    <w:link w:val="942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lang w:val="en-US" w:eastAsia="en-US"/>
    </w:rPr>
  </w:style>
  <w:style w:type="paragraph" w:styleId="752">
    <w:name w:val="Heading 2"/>
    <w:basedOn w:val="750"/>
    <w:next w:val="750"/>
    <w:link w:val="945"/>
    <w:uiPriority w:val="99"/>
    <w:qFormat/>
    <w:pPr>
      <w:ind w:firstLine="567"/>
      <w:jc w:val="both"/>
      <w:keepNext/>
      <w:tabs>
        <w:tab w:val="left" w:pos="2040" w:leader="none"/>
      </w:tabs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753">
    <w:name w:val="Heading 3"/>
    <w:basedOn w:val="750"/>
    <w:next w:val="750"/>
    <w:link w:val="946"/>
    <w:uiPriority w:val="99"/>
    <w:qFormat/>
    <w:pPr>
      <w:jc w:val="center"/>
      <w:keepNext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754">
    <w:name w:val="Heading 4"/>
    <w:basedOn w:val="750"/>
    <w:next w:val="750"/>
    <w:link w:val="947"/>
    <w:uiPriority w:val="99"/>
    <w:qFormat/>
    <w:pPr>
      <w:keepNext/>
      <w:tabs>
        <w:tab w:val="left" w:pos="2040" w:leader="none"/>
      </w:tabs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755">
    <w:name w:val="Heading 5"/>
    <w:basedOn w:val="750"/>
    <w:next w:val="750"/>
    <w:link w:val="948"/>
    <w:uiPriority w:val="99"/>
    <w:qFormat/>
    <w:pPr>
      <w:jc w:val="center"/>
      <w:keepNext/>
      <w:tabs>
        <w:tab w:val="left" w:pos="2040" w:leader="none"/>
      </w:tabs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56">
    <w:name w:val="Heading 6"/>
    <w:basedOn w:val="750"/>
    <w:next w:val="750"/>
    <w:link w:val="949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57">
    <w:name w:val="Heading 7"/>
    <w:basedOn w:val="750"/>
    <w:next w:val="750"/>
    <w:link w:val="950"/>
    <w:uiPriority w:val="99"/>
    <w:qFormat/>
    <w:pPr>
      <w:spacing w:before="240" w:after="60"/>
      <w:outlineLvl w:val="6"/>
    </w:pPr>
    <w:rPr>
      <w:lang w:val="en-US" w:eastAsia="en-US"/>
    </w:rPr>
  </w:style>
  <w:style w:type="paragraph" w:styleId="758">
    <w:name w:val="Heading 8"/>
    <w:basedOn w:val="750"/>
    <w:next w:val="750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next w:val="750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uiPriority w:val="9"/>
    <w:rPr>
      <w:rFonts w:ascii="Arial" w:hAnsi="Arial" w:eastAsia="Arial" w:cs="Arial"/>
      <w:sz w:val="34"/>
    </w:rPr>
  </w:style>
  <w:style w:type="character" w:styleId="76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50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rPr>
      <w:lang w:eastAsia="zh-CN"/>
    </w:rPr>
  </w:style>
  <w:style w:type="paragraph" w:styleId="778">
    <w:name w:val="Title"/>
    <w:basedOn w:val="750"/>
    <w:next w:val="750"/>
    <w:link w:val="994"/>
    <w:uiPriority w:val="10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character" w:styleId="779" w:customStyle="1">
    <w:name w:val="Title Char"/>
    <w:uiPriority w:val="10"/>
    <w:rPr>
      <w:sz w:val="48"/>
      <w:szCs w:val="48"/>
    </w:rPr>
  </w:style>
  <w:style w:type="paragraph" w:styleId="780">
    <w:name w:val="Subtitle"/>
    <w:basedOn w:val="750"/>
    <w:link w:val="972"/>
    <w:uiPriority w:val="99"/>
    <w:qFormat/>
    <w:pPr>
      <w:ind w:firstLine="567"/>
      <w:jc w:val="center"/>
    </w:pPr>
    <w:rPr>
      <w:rFonts w:ascii="Cambria" w:hAnsi="Cambria"/>
      <w:lang w:val="en-US" w:eastAsia="en-US"/>
    </w:rPr>
  </w:style>
  <w:style w:type="character" w:styleId="781" w:customStyle="1">
    <w:name w:val="Subtitle Char"/>
    <w:uiPriority w:val="11"/>
    <w:rPr>
      <w:sz w:val="24"/>
      <w:szCs w:val="24"/>
    </w:rPr>
  </w:style>
  <w:style w:type="paragraph" w:styleId="782">
    <w:name w:val="Quote"/>
    <w:basedOn w:val="750"/>
    <w:next w:val="750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0"/>
    <w:next w:val="750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paragraph" w:styleId="786">
    <w:name w:val="Header"/>
    <w:basedOn w:val="750"/>
    <w:link w:val="936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87" w:customStyle="1">
    <w:name w:val="Header Char"/>
    <w:uiPriority w:val="99"/>
  </w:style>
  <w:style w:type="paragraph" w:styleId="788">
    <w:name w:val="Footer"/>
    <w:basedOn w:val="750"/>
    <w:link w:val="94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89" w:customStyle="1">
    <w:name w:val="Footer Char"/>
    <w:uiPriority w:val="99"/>
  </w:style>
  <w:style w:type="paragraph" w:styleId="790">
    <w:name w:val="Caption"/>
    <w:basedOn w:val="750"/>
    <w:next w:val="75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1" w:customStyle="1">
    <w:name w:val="Caption Char"/>
    <w:uiPriority w:val="99"/>
  </w:style>
  <w:style w:type="table" w:styleId="792">
    <w:name w:val="Table Grid"/>
    <w:basedOn w:val="761"/>
    <w:uiPriority w:val="59"/>
    <w:rPr>
      <w:rFonts w:ascii="Times New Roman" w:hAnsi="Times New Roman"/>
    </w:rPr>
    <w:tblPr/>
  </w:style>
  <w:style w:type="table" w:styleId="79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8">
    <w:name w:val="Hyperlink"/>
    <w:uiPriority w:val="99"/>
    <w:unhideWhenUsed/>
    <w:rPr>
      <w:rFonts w:cs="Times New Roman"/>
      <w:color w:val="0000ff"/>
      <w:u w:val="single"/>
    </w:rPr>
  </w:style>
  <w:style w:type="paragraph" w:styleId="919">
    <w:name w:val="footnote text"/>
    <w:basedOn w:val="750"/>
    <w:link w:val="991"/>
    <w:uiPriority w:val="99"/>
    <w:semiHidden/>
    <w:unhideWhenUsed/>
    <w:rPr>
      <w:sz w:val="20"/>
      <w:szCs w:val="20"/>
      <w:lang w:val="en-US" w:eastAsia="en-US"/>
    </w:rPr>
  </w:style>
  <w:style w:type="character" w:styleId="920" w:customStyle="1">
    <w:name w:val="Footnote Text Char"/>
    <w:uiPriority w:val="99"/>
    <w:rPr>
      <w:sz w:val="18"/>
    </w:rPr>
  </w:style>
  <w:style w:type="character" w:styleId="921">
    <w:name w:val="footnote reference"/>
    <w:uiPriority w:val="99"/>
    <w:semiHidden/>
    <w:unhideWhenUsed/>
    <w:rPr>
      <w:vertAlign w:val="superscript"/>
    </w:rPr>
  </w:style>
  <w:style w:type="paragraph" w:styleId="922">
    <w:name w:val="endnote text"/>
    <w:basedOn w:val="750"/>
    <w:link w:val="992"/>
    <w:uiPriority w:val="99"/>
    <w:semiHidden/>
    <w:unhideWhenUsed/>
    <w:rPr>
      <w:sz w:val="20"/>
      <w:szCs w:val="20"/>
      <w:lang w:val="en-US" w:eastAsia="en-US"/>
    </w:rPr>
  </w:style>
  <w:style w:type="character" w:styleId="923" w:customStyle="1">
    <w:name w:val="Endnote Text Char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750"/>
    <w:next w:val="750"/>
    <w:uiPriority w:val="39"/>
    <w:unhideWhenUsed/>
    <w:pPr>
      <w:spacing w:after="57"/>
    </w:pPr>
  </w:style>
  <w:style w:type="paragraph" w:styleId="926">
    <w:name w:val="toc 2"/>
    <w:basedOn w:val="750"/>
    <w:next w:val="750"/>
    <w:uiPriority w:val="39"/>
    <w:unhideWhenUsed/>
    <w:pPr>
      <w:ind w:left="283"/>
      <w:spacing w:after="57"/>
    </w:pPr>
  </w:style>
  <w:style w:type="paragraph" w:styleId="927">
    <w:name w:val="toc 3"/>
    <w:basedOn w:val="750"/>
    <w:next w:val="750"/>
    <w:uiPriority w:val="39"/>
    <w:unhideWhenUsed/>
    <w:pPr>
      <w:ind w:left="567"/>
      <w:spacing w:after="57"/>
    </w:pPr>
  </w:style>
  <w:style w:type="paragraph" w:styleId="928">
    <w:name w:val="toc 4"/>
    <w:basedOn w:val="750"/>
    <w:next w:val="750"/>
    <w:uiPriority w:val="39"/>
    <w:unhideWhenUsed/>
    <w:pPr>
      <w:ind w:left="850"/>
      <w:spacing w:after="57"/>
    </w:pPr>
  </w:style>
  <w:style w:type="paragraph" w:styleId="929">
    <w:name w:val="toc 5"/>
    <w:basedOn w:val="750"/>
    <w:next w:val="750"/>
    <w:uiPriority w:val="39"/>
    <w:unhideWhenUsed/>
    <w:pPr>
      <w:ind w:left="1134"/>
      <w:spacing w:after="57"/>
    </w:pPr>
  </w:style>
  <w:style w:type="paragraph" w:styleId="930">
    <w:name w:val="toc 6"/>
    <w:basedOn w:val="750"/>
    <w:next w:val="750"/>
    <w:uiPriority w:val="39"/>
    <w:unhideWhenUsed/>
    <w:pPr>
      <w:ind w:left="1417"/>
      <w:spacing w:after="57"/>
    </w:pPr>
  </w:style>
  <w:style w:type="paragraph" w:styleId="931">
    <w:name w:val="toc 7"/>
    <w:basedOn w:val="750"/>
    <w:next w:val="750"/>
    <w:uiPriority w:val="39"/>
    <w:unhideWhenUsed/>
    <w:pPr>
      <w:ind w:left="1701"/>
      <w:spacing w:after="57"/>
    </w:pPr>
  </w:style>
  <w:style w:type="paragraph" w:styleId="932">
    <w:name w:val="toc 8"/>
    <w:basedOn w:val="750"/>
    <w:next w:val="750"/>
    <w:uiPriority w:val="39"/>
    <w:unhideWhenUsed/>
    <w:pPr>
      <w:ind w:left="1984"/>
      <w:spacing w:after="57"/>
    </w:pPr>
  </w:style>
  <w:style w:type="paragraph" w:styleId="933">
    <w:name w:val="toc 9"/>
    <w:basedOn w:val="750"/>
    <w:next w:val="750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  <w:rPr>
      <w:lang w:eastAsia="zh-CN"/>
    </w:rPr>
  </w:style>
  <w:style w:type="paragraph" w:styleId="935">
    <w:name w:val="table of figures"/>
    <w:basedOn w:val="750"/>
    <w:next w:val="750"/>
    <w:uiPriority w:val="99"/>
    <w:unhideWhenUsed/>
  </w:style>
  <w:style w:type="character" w:styleId="936" w:customStyle="1">
    <w:name w:val="Верхний колонтитул Знак"/>
    <w:link w:val="786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37" w:customStyle="1">
    <w:name w:val="Style9"/>
    <w:basedOn w:val="750"/>
    <w:uiPriority w:val="99"/>
    <w:pPr>
      <w:jc w:val="both"/>
      <w:spacing w:line="320" w:lineRule="exact"/>
      <w:widowControl w:val="off"/>
    </w:pPr>
  </w:style>
  <w:style w:type="paragraph" w:styleId="938" w:customStyle="1">
    <w:name w:val="ConsPlusNormal"/>
    <w:link w:val="943"/>
    <w:pPr>
      <w:ind w:firstLine="720"/>
      <w:widowControl w:val="off"/>
    </w:pPr>
    <w:rPr>
      <w:rFonts w:ascii="Arial" w:hAnsi="Arial" w:cs="Arial"/>
    </w:rPr>
  </w:style>
  <w:style w:type="character" w:styleId="939" w:customStyle="1">
    <w:name w:val="Гипертекстовая ссылка"/>
    <w:uiPriority w:val="99"/>
    <w:rPr>
      <w:rFonts w:ascii="Times New Roman" w:hAnsi="Times New Roman"/>
      <w:color w:val="000000"/>
    </w:rPr>
  </w:style>
  <w:style w:type="paragraph" w:styleId="940">
    <w:name w:val="Balloon Text"/>
    <w:basedOn w:val="750"/>
    <w:link w:val="941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41" w:customStyle="1">
    <w:name w:val="Текст выноски Знак"/>
    <w:link w:val="940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942" w:customStyle="1">
    <w:name w:val="Заголовок 1 Знак"/>
    <w:link w:val="751"/>
    <w:uiPriority w:val="99"/>
    <w:rPr>
      <w:rFonts w:ascii="Arial" w:hAnsi="Arial" w:cs="Arial"/>
      <w:b/>
      <w:bCs/>
      <w:color w:val="26282f"/>
      <w:sz w:val="24"/>
      <w:szCs w:val="24"/>
    </w:rPr>
  </w:style>
  <w:style w:type="character" w:styleId="943" w:customStyle="1">
    <w:name w:val="ConsPlusNormal Знак"/>
    <w:link w:val="938"/>
    <w:rPr>
      <w:rFonts w:ascii="Arial" w:hAnsi="Arial" w:cs="Arial"/>
      <w:lang w:val="ru-RU" w:eastAsia="ru-RU" w:bidi="ar-SA"/>
    </w:rPr>
  </w:style>
  <w:style w:type="character" w:styleId="944" w:customStyle="1">
    <w:name w:val="Нижний колонтитул Знак"/>
    <w:link w:val="788"/>
    <w:uiPriority w:val="99"/>
    <w:rPr>
      <w:rFonts w:ascii="Times New Roman" w:hAnsi="Times New Roman"/>
      <w:sz w:val="24"/>
      <w:szCs w:val="24"/>
    </w:rPr>
  </w:style>
  <w:style w:type="character" w:styleId="945" w:customStyle="1">
    <w:name w:val="Заголовок 2 Знак"/>
    <w:link w:val="752"/>
    <w:uiPriority w:val="99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946" w:customStyle="1">
    <w:name w:val="Заголовок 3 Знак"/>
    <w:link w:val="753"/>
    <w:uiPriority w:val="99"/>
    <w:rPr>
      <w:rFonts w:ascii="Cambria" w:hAnsi="Cambria"/>
      <w:b/>
      <w:bCs/>
      <w:sz w:val="26"/>
      <w:szCs w:val="26"/>
      <w:lang w:val="en-US" w:eastAsia="en-US"/>
    </w:rPr>
  </w:style>
  <w:style w:type="character" w:styleId="947" w:customStyle="1">
    <w:name w:val="Заголовок 4 Знак"/>
    <w:link w:val="754"/>
    <w:uiPriority w:val="99"/>
    <w:rPr>
      <w:b/>
      <w:bCs/>
      <w:sz w:val="28"/>
      <w:szCs w:val="28"/>
      <w:lang w:val="en-US" w:eastAsia="en-US"/>
    </w:rPr>
  </w:style>
  <w:style w:type="character" w:styleId="948" w:customStyle="1">
    <w:name w:val="Заголовок 5 Знак"/>
    <w:link w:val="755"/>
    <w:uiPriority w:val="99"/>
    <w:rPr>
      <w:b/>
      <w:bCs/>
      <w:i/>
      <w:iCs/>
      <w:sz w:val="26"/>
      <w:szCs w:val="26"/>
      <w:lang w:val="en-US" w:eastAsia="en-US"/>
    </w:rPr>
  </w:style>
  <w:style w:type="character" w:styleId="949" w:customStyle="1">
    <w:name w:val="Заголовок 6 Знак"/>
    <w:link w:val="756"/>
    <w:uiPriority w:val="9"/>
    <w:semiHidden/>
    <w:rPr>
      <w:b/>
      <w:bCs/>
      <w:sz w:val="22"/>
      <w:szCs w:val="22"/>
      <w:lang w:val="en-US" w:eastAsia="en-US"/>
    </w:rPr>
  </w:style>
  <w:style w:type="character" w:styleId="950" w:customStyle="1">
    <w:name w:val="Заголовок 7 Знак"/>
    <w:link w:val="757"/>
    <w:uiPriority w:val="99"/>
    <w:rPr>
      <w:rFonts w:ascii="Times New Roman" w:hAnsi="Times New Roman"/>
      <w:sz w:val="24"/>
      <w:szCs w:val="24"/>
      <w:lang w:val="en-US" w:eastAsia="en-US"/>
    </w:rPr>
  </w:style>
  <w:style w:type="numbering" w:styleId="951" w:customStyle="1">
    <w:name w:val="Нет списка1"/>
    <w:next w:val="762"/>
    <w:uiPriority w:val="99"/>
    <w:semiHidden/>
    <w:unhideWhenUsed/>
  </w:style>
  <w:style w:type="paragraph" w:styleId="952">
    <w:name w:val="Body Text"/>
    <w:basedOn w:val="750"/>
    <w:link w:val="953"/>
    <w:uiPriority w:val="99"/>
    <w:rPr>
      <w:sz w:val="20"/>
      <w:szCs w:val="20"/>
      <w:lang w:val="en-US" w:eastAsia="en-US"/>
    </w:rPr>
  </w:style>
  <w:style w:type="character" w:styleId="953" w:customStyle="1">
    <w:name w:val="Основной текст Знак"/>
    <w:link w:val="952"/>
    <w:uiPriority w:val="99"/>
    <w:rPr>
      <w:rFonts w:ascii="Times New Roman" w:hAnsi="Times New Roman"/>
      <w:lang w:val="en-US" w:eastAsia="en-US"/>
    </w:rPr>
  </w:style>
  <w:style w:type="paragraph" w:styleId="954">
    <w:name w:val="Body Text Indent"/>
    <w:basedOn w:val="750"/>
    <w:link w:val="955"/>
    <w:uiPriority w:val="99"/>
    <w:pPr>
      <w:ind w:firstLine="709"/>
      <w:jc w:val="both"/>
    </w:pPr>
    <w:rPr>
      <w:sz w:val="28"/>
      <w:szCs w:val="28"/>
      <w:lang w:val="en-US" w:eastAsia="en-US"/>
    </w:rPr>
  </w:style>
  <w:style w:type="character" w:styleId="955" w:customStyle="1">
    <w:name w:val="Основной текст с отступом Знак"/>
    <w:link w:val="954"/>
    <w:uiPriority w:val="99"/>
    <w:rPr>
      <w:rFonts w:ascii="Times New Roman" w:hAnsi="Times New Roman"/>
      <w:sz w:val="28"/>
      <w:szCs w:val="28"/>
      <w:lang w:val="en-US" w:eastAsia="en-US"/>
    </w:rPr>
  </w:style>
  <w:style w:type="paragraph" w:styleId="956" w:customStyle="1">
    <w:name w:val="Postan"/>
    <w:basedOn w:val="750"/>
    <w:uiPriority w:val="99"/>
    <w:pPr>
      <w:jc w:val="center"/>
    </w:pPr>
    <w:rPr>
      <w:sz w:val="28"/>
      <w:szCs w:val="28"/>
    </w:rPr>
  </w:style>
  <w:style w:type="character" w:styleId="957">
    <w:name w:val="page number"/>
    <w:uiPriority w:val="99"/>
    <w:rPr>
      <w:rFonts w:cs="Times New Roman"/>
    </w:rPr>
  </w:style>
  <w:style w:type="paragraph" w:styleId="958" w:customStyle="1">
    <w:name w:val="ConsNonformat"/>
    <w:uiPriority w:val="99"/>
    <w:pPr>
      <w:ind w:right="19772"/>
      <w:widowControl w:val="off"/>
    </w:pPr>
    <w:rPr>
      <w:rFonts w:ascii="Courier New" w:hAnsi="Courier New" w:cs="Courier New"/>
    </w:rPr>
  </w:style>
  <w:style w:type="paragraph" w:styleId="959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paragraph" w:styleId="960">
    <w:name w:val="Body Text Indent 2"/>
    <w:basedOn w:val="750"/>
    <w:link w:val="961"/>
    <w:uiPriority w:val="99"/>
    <w:pPr>
      <w:ind w:firstLine="720"/>
      <w:jc w:val="both"/>
    </w:pPr>
    <w:rPr>
      <w:sz w:val="20"/>
      <w:szCs w:val="20"/>
      <w:lang w:val="en-US" w:eastAsia="en-US"/>
    </w:rPr>
  </w:style>
  <w:style w:type="character" w:styleId="961" w:customStyle="1">
    <w:name w:val="Основной текст с отступом 2 Знак"/>
    <w:link w:val="960"/>
    <w:uiPriority w:val="99"/>
    <w:rPr>
      <w:rFonts w:ascii="Times New Roman" w:hAnsi="Times New Roman"/>
      <w:lang w:val="en-US" w:eastAsia="en-US"/>
    </w:rPr>
  </w:style>
  <w:style w:type="paragraph" w:styleId="962" w:customStyle="1">
    <w:name w:val="ConsTitle"/>
    <w:uiPriority w:val="99"/>
    <w:pPr>
      <w:ind w:right="19772"/>
      <w:widowControl w:val="off"/>
    </w:pPr>
    <w:rPr>
      <w:rFonts w:ascii="Arial" w:hAnsi="Arial" w:cs="Arial"/>
      <w:b/>
      <w:bCs/>
      <w:sz w:val="16"/>
      <w:szCs w:val="16"/>
    </w:rPr>
  </w:style>
  <w:style w:type="paragraph" w:styleId="963">
    <w:name w:val="Body Text 2"/>
    <w:basedOn w:val="750"/>
    <w:link w:val="964"/>
    <w:uiPriority w:val="99"/>
    <w:pPr>
      <w:ind w:right="6111"/>
    </w:pPr>
    <w:rPr>
      <w:sz w:val="20"/>
      <w:szCs w:val="20"/>
      <w:lang w:val="en-US" w:eastAsia="en-US"/>
    </w:rPr>
  </w:style>
  <w:style w:type="character" w:styleId="964" w:customStyle="1">
    <w:name w:val="Основной текст 2 Знак"/>
    <w:link w:val="963"/>
    <w:uiPriority w:val="99"/>
    <w:rPr>
      <w:rFonts w:ascii="Times New Roman" w:hAnsi="Times New Roman"/>
      <w:lang w:val="en-US" w:eastAsia="en-US"/>
    </w:rPr>
  </w:style>
  <w:style w:type="paragraph" w:styleId="965">
    <w:name w:val="Body Text 3"/>
    <w:basedOn w:val="750"/>
    <w:link w:val="966"/>
    <w:uiPriority w:val="99"/>
    <w:pPr>
      <w:jc w:val="center"/>
    </w:pPr>
    <w:rPr>
      <w:sz w:val="16"/>
      <w:szCs w:val="16"/>
      <w:lang w:val="en-US" w:eastAsia="en-US"/>
    </w:rPr>
  </w:style>
  <w:style w:type="character" w:styleId="966" w:customStyle="1">
    <w:name w:val="Основной текст 3 Знак"/>
    <w:link w:val="965"/>
    <w:uiPriority w:val="99"/>
    <w:rPr>
      <w:rFonts w:ascii="Times New Roman" w:hAnsi="Times New Roman"/>
      <w:sz w:val="16"/>
      <w:szCs w:val="16"/>
      <w:lang w:val="en-US" w:eastAsia="en-US"/>
    </w:rPr>
  </w:style>
  <w:style w:type="paragraph" w:styleId="967">
    <w:name w:val="Body Text Indent 3"/>
    <w:basedOn w:val="750"/>
    <w:link w:val="968"/>
    <w:uiPriority w:val="99"/>
    <w:pPr>
      <w:ind w:left="420" w:hanging="420"/>
      <w:jc w:val="both"/>
      <w:spacing w:line="320" w:lineRule="atLeast"/>
    </w:pPr>
    <w:rPr>
      <w:sz w:val="16"/>
      <w:szCs w:val="16"/>
      <w:lang w:val="en-US" w:eastAsia="en-US"/>
    </w:rPr>
  </w:style>
  <w:style w:type="character" w:styleId="968" w:customStyle="1">
    <w:name w:val="Основной текст с отступом 3 Знак"/>
    <w:link w:val="967"/>
    <w:uiPriority w:val="99"/>
    <w:rPr>
      <w:rFonts w:ascii="Times New Roman" w:hAnsi="Times New Roman"/>
      <w:sz w:val="16"/>
      <w:szCs w:val="16"/>
      <w:lang w:val="en-US" w:eastAsia="en-US"/>
    </w:rPr>
  </w:style>
  <w:style w:type="character" w:styleId="969">
    <w:name w:val="FollowedHyperlink"/>
    <w:uiPriority w:val="99"/>
    <w:rPr>
      <w:rFonts w:cs="Times New Roman"/>
      <w:color w:val="800080"/>
      <w:u w:val="single"/>
    </w:rPr>
  </w:style>
  <w:style w:type="paragraph" w:styleId="970" w:customStyle="1">
    <w:name w:val="UserStyle_25"/>
    <w:basedOn w:val="750"/>
    <w:next w:val="995"/>
    <w:link w:val="971"/>
    <w:uiPriority w:val="10"/>
    <w:unhideWhenUsed/>
    <w:pPr>
      <w:spacing w:before="100" w:beforeAutospacing="1" w:after="100" w:afterAutospacing="1"/>
    </w:pPr>
    <w:rPr>
      <w:rFonts w:ascii="Cambria" w:hAnsi="Cambria"/>
      <w:b/>
      <w:bCs/>
      <w:sz w:val="32"/>
      <w:szCs w:val="32"/>
      <w:lang w:val="en-US" w:eastAsia="en-US"/>
    </w:rPr>
  </w:style>
  <w:style w:type="character" w:styleId="971" w:customStyle="1">
    <w:name w:val="Название Знак"/>
    <w:link w:val="970"/>
    <w:uiPriority w:val="10"/>
    <w:rPr>
      <w:rFonts w:ascii="Cambria" w:hAnsi="Cambria" w:cs="Cambria"/>
      <w:b/>
      <w:bCs/>
      <w:sz w:val="32"/>
      <w:szCs w:val="32"/>
    </w:rPr>
  </w:style>
  <w:style w:type="character" w:styleId="972" w:customStyle="1">
    <w:name w:val="Подзаголовок Знак"/>
    <w:link w:val="780"/>
    <w:uiPriority w:val="99"/>
    <w:rPr>
      <w:rFonts w:ascii="Cambria" w:hAnsi="Cambria"/>
      <w:sz w:val="24"/>
      <w:szCs w:val="24"/>
      <w:lang w:val="en-US" w:eastAsia="en-US"/>
    </w:rPr>
  </w:style>
  <w:style w:type="paragraph" w:styleId="973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74" w:customStyle="1">
    <w:name w:val="Название Знак1"/>
    <w:rPr>
      <w:rFonts w:cs="Times New Roman"/>
      <w:b/>
      <w:bCs/>
      <w:sz w:val="24"/>
      <w:szCs w:val="24"/>
      <w:lang w:val="ru-RU" w:eastAsia="ru-RU" w:bidi="ar-SA"/>
    </w:rPr>
  </w:style>
  <w:style w:type="paragraph" w:styleId="975" w:customStyle="1">
    <w:name w:val="ConsCell"/>
    <w:pPr>
      <w:widowControl w:val="off"/>
    </w:pPr>
    <w:rPr>
      <w:rFonts w:ascii="Arial" w:hAnsi="Arial" w:cs="Arial"/>
    </w:rPr>
  </w:style>
  <w:style w:type="character" w:styleId="976" w:customStyle="1">
    <w:name w:val="apple-converted-space"/>
    <w:rPr>
      <w:rFonts w:cs="Times New Roman"/>
    </w:rPr>
  </w:style>
  <w:style w:type="character" w:styleId="977" w:customStyle="1">
    <w:name w:val="Основной текст + Trebuchet MS;17 pt;Интервал -1 pt"/>
    <w:rPr>
      <w:rFonts w:ascii="Trebuchet MS" w:hAnsi="Trebuchet MS" w:cs="Trebuchet MS"/>
      <w:spacing w:val="-20"/>
      <w:sz w:val="34"/>
      <w:szCs w:val="34"/>
    </w:rPr>
  </w:style>
  <w:style w:type="character" w:styleId="978" w:customStyle="1">
    <w:name w:val="Основной текст_"/>
    <w:link w:val="979"/>
    <w:rPr>
      <w:sz w:val="27"/>
      <w:szCs w:val="27"/>
      <w:shd w:val="clear" w:color="auto" w:fill="ffffff"/>
    </w:rPr>
  </w:style>
  <w:style w:type="paragraph" w:styleId="979" w:customStyle="1">
    <w:name w:val="Основной текст1"/>
    <w:basedOn w:val="750"/>
    <w:link w:val="978"/>
    <w:pPr>
      <w:spacing w:after="180" w:line="293" w:lineRule="exact"/>
      <w:shd w:val="clear" w:color="auto" w:fill="ffffff"/>
    </w:pPr>
    <w:rPr>
      <w:rFonts w:ascii="Calibri" w:hAnsi="Calibri"/>
      <w:sz w:val="27"/>
      <w:szCs w:val="27"/>
      <w:lang w:val="en-US" w:eastAsia="en-US"/>
    </w:rPr>
  </w:style>
  <w:style w:type="character" w:styleId="980" w:customStyle="1">
    <w:name w:val="Заголовок №1_"/>
    <w:link w:val="981"/>
    <w:rPr>
      <w:sz w:val="22"/>
      <w:szCs w:val="22"/>
      <w:shd w:val="clear" w:color="auto" w:fill="ffffff"/>
    </w:rPr>
  </w:style>
  <w:style w:type="paragraph" w:styleId="981" w:customStyle="1">
    <w:name w:val="Заголовок №1"/>
    <w:basedOn w:val="750"/>
    <w:link w:val="980"/>
    <w:pPr>
      <w:spacing w:before="240" w:line="278" w:lineRule="exact"/>
      <w:shd w:val="clear" w:color="auto" w:fill="ffffff"/>
      <w:outlineLvl w:val="0"/>
    </w:pPr>
    <w:rPr>
      <w:rFonts w:ascii="Calibri" w:hAnsi="Calibri"/>
      <w:sz w:val="22"/>
      <w:szCs w:val="22"/>
      <w:lang w:val="en-US" w:eastAsia="en-US"/>
    </w:rPr>
  </w:style>
  <w:style w:type="character" w:styleId="982" w:customStyle="1">
    <w:name w:val="Основной текст (2)_"/>
    <w:link w:val="983"/>
    <w:uiPriority w:val="99"/>
    <w:rPr>
      <w:b/>
      <w:bCs/>
      <w:sz w:val="26"/>
      <w:szCs w:val="26"/>
      <w:shd w:val="clear" w:color="auto" w:fill="ffffff"/>
    </w:rPr>
  </w:style>
  <w:style w:type="paragraph" w:styleId="983" w:customStyle="1">
    <w:name w:val="Основной текст (2)"/>
    <w:basedOn w:val="750"/>
    <w:link w:val="982"/>
    <w:uiPriority w:val="99"/>
    <w:pPr>
      <w:jc w:val="center"/>
      <w:spacing w:after="480" w:line="322" w:lineRule="exact"/>
      <w:shd w:val="clear" w:color="auto" w:fill="ffffff"/>
    </w:pPr>
    <w:rPr>
      <w:rFonts w:ascii="Calibri" w:hAnsi="Calibri"/>
      <w:b/>
      <w:bCs/>
      <w:sz w:val="26"/>
      <w:szCs w:val="26"/>
      <w:lang w:val="en-US" w:eastAsia="en-US"/>
    </w:rPr>
  </w:style>
  <w:style w:type="character" w:styleId="984">
    <w:name w:val="annotation reference"/>
    <w:uiPriority w:val="99"/>
    <w:semiHidden/>
    <w:unhideWhenUsed/>
    <w:rPr>
      <w:rFonts w:cs="Times New Roman"/>
      <w:sz w:val="16"/>
      <w:szCs w:val="16"/>
    </w:rPr>
  </w:style>
  <w:style w:type="paragraph" w:styleId="985">
    <w:name w:val="annotation text"/>
    <w:basedOn w:val="750"/>
    <w:link w:val="986"/>
    <w:uiPriority w:val="99"/>
    <w:semiHidden/>
    <w:unhideWhenUsed/>
    <w:rPr>
      <w:sz w:val="20"/>
      <w:szCs w:val="20"/>
      <w:lang w:val="en-US" w:eastAsia="en-US"/>
    </w:rPr>
  </w:style>
  <w:style w:type="character" w:styleId="986" w:customStyle="1">
    <w:name w:val="Текст примечания Знак"/>
    <w:link w:val="985"/>
    <w:uiPriority w:val="99"/>
    <w:semiHidden/>
    <w:rPr>
      <w:rFonts w:ascii="Times New Roman" w:hAnsi="Times New Roman"/>
      <w:lang w:val="en-US" w:eastAsia="en-US"/>
    </w:rPr>
  </w:style>
  <w:style w:type="character" w:styleId="987">
    <w:name w:val="Strong"/>
    <w:qFormat/>
    <w:rPr>
      <w:b/>
      <w:bCs/>
    </w:rPr>
  </w:style>
  <w:style w:type="paragraph" w:styleId="988">
    <w:name w:val="Revision"/>
    <w:hidden/>
    <w:uiPriority w:val="99"/>
    <w:semiHidden/>
    <w:rPr>
      <w:rFonts w:ascii="Times New Roman" w:hAnsi="Times New Roman"/>
    </w:rPr>
  </w:style>
  <w:style w:type="paragraph" w:styleId="989">
    <w:name w:val="annotation subject"/>
    <w:basedOn w:val="985"/>
    <w:next w:val="985"/>
    <w:link w:val="990"/>
    <w:uiPriority w:val="99"/>
    <w:semiHidden/>
    <w:unhideWhenUsed/>
    <w:rPr>
      <w:b/>
      <w:bCs/>
    </w:rPr>
  </w:style>
  <w:style w:type="character" w:styleId="990" w:customStyle="1">
    <w:name w:val="Тема примечания Знак"/>
    <w:link w:val="989"/>
    <w:uiPriority w:val="99"/>
    <w:semiHidden/>
    <w:rPr>
      <w:rFonts w:ascii="Times New Roman" w:hAnsi="Times New Roman"/>
      <w:b/>
      <w:bCs/>
      <w:lang w:val="en-US" w:eastAsia="en-US"/>
    </w:rPr>
  </w:style>
  <w:style w:type="character" w:styleId="991" w:customStyle="1">
    <w:name w:val="Текст сноски Знак"/>
    <w:link w:val="919"/>
    <w:uiPriority w:val="99"/>
    <w:semiHidden/>
    <w:rPr>
      <w:rFonts w:ascii="Times New Roman" w:hAnsi="Times New Roman"/>
    </w:rPr>
  </w:style>
  <w:style w:type="character" w:styleId="992" w:customStyle="1">
    <w:name w:val="Текст концевой сноски Знак"/>
    <w:link w:val="922"/>
    <w:uiPriority w:val="99"/>
    <w:semiHidden/>
    <w:rPr>
      <w:rFonts w:ascii="Times New Roman" w:hAnsi="Times New Roman"/>
    </w:rPr>
  </w:style>
  <w:style w:type="character" w:styleId="993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994" w:customStyle="1">
    <w:name w:val="Заголовок Знак"/>
    <w:link w:val="778"/>
    <w:uiPriority w:val="10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95">
    <w:name w:val="Normal (Web)"/>
    <w:basedOn w:val="750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revision>164</cp:revision>
  <dcterms:created xsi:type="dcterms:W3CDTF">2023-01-18T08:21:00Z</dcterms:created>
  <dcterms:modified xsi:type="dcterms:W3CDTF">2025-10-01T03:16:54Z</dcterms:modified>
  <cp:version>1048576</cp:version>
</cp:coreProperties>
</file>