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>Информация</w:t>
      </w:r>
    </w:p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о рассмотрении </w:t>
      </w:r>
      <w:r w:rsidR="009503C2" w:rsidRPr="00E559D1">
        <w:rPr>
          <w:b/>
          <w:szCs w:val="28"/>
        </w:rPr>
        <w:t>обращений граждан</w:t>
      </w:r>
      <w:r w:rsidR="009503C2">
        <w:rPr>
          <w:b/>
          <w:szCs w:val="28"/>
        </w:rPr>
        <w:t>,</w:t>
      </w:r>
      <w:r w:rsidR="009503C2" w:rsidRPr="00E559D1">
        <w:rPr>
          <w:b/>
          <w:szCs w:val="28"/>
        </w:rPr>
        <w:t xml:space="preserve"> </w:t>
      </w:r>
      <w:r w:rsidRPr="00E559D1">
        <w:rPr>
          <w:b/>
          <w:szCs w:val="28"/>
        </w:rPr>
        <w:t xml:space="preserve">поступивших </w:t>
      </w:r>
    </w:p>
    <w:p w:rsidR="00687E45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>в</w:t>
      </w:r>
      <w:r w:rsidR="00FE34CC">
        <w:rPr>
          <w:b/>
          <w:szCs w:val="28"/>
        </w:rPr>
        <w:t>о</w:t>
      </w:r>
      <w:r w:rsidRPr="00E559D1">
        <w:rPr>
          <w:b/>
          <w:szCs w:val="28"/>
        </w:rPr>
        <w:t xml:space="preserve"> </w:t>
      </w:r>
      <w:r w:rsidR="00BD11AD" w:rsidRPr="000017D8">
        <w:rPr>
          <w:b/>
          <w:szCs w:val="28"/>
          <w:lang w:val="en-US"/>
        </w:rPr>
        <w:t>I</w:t>
      </w:r>
      <w:r w:rsidR="00696C26" w:rsidRPr="000017D8">
        <w:rPr>
          <w:b/>
          <w:szCs w:val="28"/>
          <w:lang w:val="en-US"/>
        </w:rPr>
        <w:t>I</w:t>
      </w:r>
      <w:r w:rsidRPr="000017D8">
        <w:rPr>
          <w:b/>
          <w:szCs w:val="28"/>
        </w:rPr>
        <w:t xml:space="preserve"> </w:t>
      </w:r>
      <w:r w:rsidRPr="00E559D1">
        <w:rPr>
          <w:b/>
          <w:szCs w:val="28"/>
        </w:rPr>
        <w:t>квартале 20</w:t>
      </w:r>
      <w:r>
        <w:rPr>
          <w:b/>
          <w:szCs w:val="28"/>
        </w:rPr>
        <w:t>2</w:t>
      </w:r>
      <w:r w:rsidR="00057F74" w:rsidRPr="00057F74">
        <w:rPr>
          <w:b/>
          <w:szCs w:val="28"/>
        </w:rPr>
        <w:t>5</w:t>
      </w:r>
      <w:r w:rsidRPr="00E559D1">
        <w:rPr>
          <w:b/>
          <w:szCs w:val="28"/>
        </w:rPr>
        <w:t xml:space="preserve"> года </w:t>
      </w:r>
    </w:p>
    <w:p w:rsidR="00B1093A" w:rsidRDefault="00B1093A" w:rsidP="00687E45">
      <w:pPr>
        <w:pStyle w:val="2"/>
        <w:ind w:firstLine="0"/>
        <w:jc w:val="center"/>
        <w:rPr>
          <w:b/>
          <w:szCs w:val="28"/>
        </w:rPr>
      </w:pP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E9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период с </w:t>
      </w:r>
      <w:r w:rsidR="00F940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4C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57B7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4C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65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585E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EF1315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958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93AF1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вопросов </w:t>
      </w:r>
      <w:r w:rsidR="00374D8F" w:rsidRPr="007C2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2352" w:rsidRPr="007C2352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="00D115CF" w:rsidRPr="007C23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на имя Губернатора 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адрес Правительства </w:t>
      </w:r>
      <w:r w:rsidR="00ED2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39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4D" w:rsidRDefault="007D1D4D" w:rsidP="007D1D4D">
      <w:r w:rsidRPr="00FE0E1E">
        <w:rPr>
          <w:noProof/>
          <w:lang w:eastAsia="ru-RU"/>
        </w:rPr>
        <w:drawing>
          <wp:inline distT="0" distB="0" distL="0" distR="0">
            <wp:extent cx="5939790" cy="2583732"/>
            <wp:effectExtent l="19050" t="0" r="22860" b="7068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D1D4D" w:rsidRDefault="007D1D4D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7E9" w:rsidRPr="00EC2DE7" w:rsidRDefault="001A779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95C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B6D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1E538E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503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</w:t>
      </w:r>
      <w:r w:rsidR="009503C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A6C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по работе с обращениями граждан и документационного обеспечения Губернатора 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B6D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из Администрации Президента Российской Федерации.</w:t>
      </w:r>
      <w:r w:rsidR="00E8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696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B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9A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 за квартал.</w:t>
      </w:r>
    </w:p>
    <w:p w:rsidR="00EC2DE7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1A7799" w:rsidRPr="00747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1A7799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обращений 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коллективных 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6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BC1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числа. Основными </w:t>
      </w:r>
      <w:r w:rsidR="00DD53CA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темами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обращений являлись </w:t>
      </w:r>
      <w:r w:rsidR="0001200B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552654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исполнительно-распорядительных органов местного самоуправления, управляющих организаций, </w:t>
      </w:r>
      <w:r w:rsidR="00552654" w:rsidRPr="00EC2DE7">
        <w:rPr>
          <w:rFonts w:ascii="Times New Roman" w:hAnsi="Times New Roman" w:cs="Times New Roman"/>
          <w:sz w:val="28"/>
          <w:szCs w:val="28"/>
        </w:rPr>
        <w:t>товариществ собственников жилья и иных форм управления собственностью.</w:t>
      </w:r>
      <w:r w:rsidR="00EC2DE7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933" w:rsidRDefault="003F3933" w:rsidP="00EC2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3DE" w:rsidRPr="003F3933" w:rsidRDefault="004A13DE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</w:t>
      </w:r>
      <w:r w:rsidR="00392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bookmarkStart w:id="0" w:name="_GoBack"/>
      <w:bookmarkEnd w:id="0"/>
      <w:r w:rsidRPr="003F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6484" w:rsidRPr="003F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392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B548E6" w:rsidRDefault="00B548E6" w:rsidP="00EC2D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E6" w:rsidRDefault="00B548E6" w:rsidP="00B548E6">
      <w:r w:rsidRPr="00FE0E1E">
        <w:rPr>
          <w:noProof/>
          <w:lang w:eastAsia="ru-RU"/>
        </w:rPr>
        <w:drawing>
          <wp:inline distT="0" distB="0" distL="0" distR="0">
            <wp:extent cx="5905603" cy="3647029"/>
            <wp:effectExtent l="19050" t="0" r="1894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848B0" w:rsidRDefault="00B518D8" w:rsidP="00F848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Лидирующее место среди обращений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AD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квартале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 вопросы </w:t>
      </w:r>
      <w:r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F848B0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48B0" w:rsidRPr="00FC5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</w:t>
      </w:r>
      <w:r w:rsidR="00F848B0"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48B0" w:rsidRPr="00EB1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48B0"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включены вопросы промышленности, связи, сельского хозяйства, строительства, торговли, транспорта</w:t>
      </w:r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природных ресурсов и охраны окружающей природной среды, информации и информатизации.</w:t>
      </w:r>
      <w:r w:rsidR="00F848B0"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848B0"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аибольшее количество обращений содержали вопросы </w:t>
      </w:r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ремонта дорог, строительства мостов, транспортном </w:t>
      </w:r>
      <w:proofErr w:type="gramStart"/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="00F84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отсутствии связи в районах края.</w:t>
      </w:r>
    </w:p>
    <w:p w:rsidR="00F848B0" w:rsidRDefault="00F848B0" w:rsidP="00F848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среди обращений граждан занимают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Оборона, безопасность, законность</w:t>
      </w:r>
      <w:r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1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разделе содержатся</w:t>
      </w:r>
      <w:r w:rsidRPr="00F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атериально-бытово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мер правовой и социальной защиты военнослужащих,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вопросы о</w:t>
      </w:r>
      <w:r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E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работы силовых структур, органов прокуратуры.</w:t>
      </w:r>
    </w:p>
    <w:p w:rsidR="00B518D8" w:rsidRDefault="00F848B0" w:rsidP="00B518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место среди обращений граждан </w:t>
      </w:r>
      <w:r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 вопросы </w:t>
      </w:r>
      <w:r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B518D8" w:rsidRPr="0057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8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B518D8" w:rsidRPr="0041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илищно-коммунальн</w:t>
      </w:r>
      <w:r w:rsidR="00B5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B518D8" w:rsidRPr="00410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</w:t>
      </w:r>
      <w:r w:rsidR="00B5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а»</w:t>
      </w:r>
      <w:r w:rsidR="00B51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18D8" w:rsidRPr="00E364AE">
        <w:t xml:space="preserve"> </w:t>
      </w:r>
      <w:r w:rsidR="00B518D8" w:rsidRPr="00E364AE">
        <w:rPr>
          <w:rFonts w:ascii="Times New Roman" w:hAnsi="Times New Roman" w:cs="Times New Roman"/>
          <w:sz w:val="28"/>
          <w:szCs w:val="28"/>
        </w:rPr>
        <w:t>Первостепенными являются вопросы ремонта жилого фонда, далее следуют вопросы тепло - и водоснабжения.</w:t>
      </w:r>
      <w:r w:rsidR="00B518D8" w:rsidRPr="009675D0">
        <w:t xml:space="preserve"> </w:t>
      </w:r>
      <w:r w:rsidR="00B518D8" w:rsidRPr="00EC2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обращений содержит просьбы об улучшении жилищных условий, предоставлении жилого помещения по договору социального найма, обследовании жилого фонда на предмет пригодности для проживания (ветхое и аварийное жилье).</w:t>
      </w:r>
    </w:p>
    <w:p w:rsidR="00E41DEA" w:rsidRDefault="00E41DEA" w:rsidP="00C94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55D29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649C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Активность жителей Забайкальского края по территориальной принадлежности</w:t>
      </w:r>
    </w:p>
    <w:p w:rsidR="006649CB" w:rsidRP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3284"/>
        <w:gridCol w:w="5542"/>
      </w:tblGrid>
      <w:tr w:rsidR="00D80D3D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F8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</w:t>
            </w:r>
            <w:r w:rsidR="001633CF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ство обращений </w:t>
            </w:r>
            <w:r w:rsidR="001633CF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F848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EC2DE7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4D8F" w:rsidRPr="005C23FC">
              <w:rPr>
                <w:sz w:val="28"/>
                <w:szCs w:val="28"/>
                <w:lang w:val="en-US"/>
              </w:rPr>
              <w:t>II</w:t>
            </w:r>
            <w:r w:rsidR="00EF5BCC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квартале 20</w:t>
            </w:r>
            <w:r w:rsidR="00704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F69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410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  <w:proofErr w:type="gramStart"/>
            <w:r w:rsidR="004845C6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(%)</w:t>
            </w:r>
            <w:proofErr w:type="gramEnd"/>
          </w:p>
        </w:tc>
      </w:tr>
      <w:tr w:rsidR="00A15855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A15855" w:rsidP="00A1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F64DD5" w:rsidP="0027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C532F0" w:rsidP="003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A4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395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604FE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4FE" w:rsidRPr="00EC2DE7" w:rsidRDefault="006604FE" w:rsidP="002B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704E3F" w:rsidRDefault="007B4F0A" w:rsidP="002B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Читинский</w:t>
            </w:r>
            <w:r w:rsidR="0066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EC2DE7" w:rsidRDefault="00395525" w:rsidP="003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6604FE" w:rsidRPr="006A6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91E8D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6604FE" w:rsidRDefault="00591E8D" w:rsidP="007E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591E8D" w:rsidP="007E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395525" w:rsidP="003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91E8D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E4153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6604FE" w:rsidRDefault="00591E8D" w:rsidP="00BF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AE4153" w:rsidP="00AF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Краснокаменск</w:t>
            </w:r>
            <w:r w:rsidR="00AF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AF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395525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4153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91E8D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591E8D" w:rsidP="007E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481CE7" w:rsidRDefault="00591E8D" w:rsidP="007E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Чернышевский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EC2DE7" w:rsidRDefault="00C532F0" w:rsidP="003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95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1E8D" w:rsidRPr="006A6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91E8D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1CE7" w:rsidRPr="00481C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591E8D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1A44B3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Оловяннинский</w:t>
            </w:r>
            <w:proofErr w:type="spellEnd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395525" w:rsidP="00C5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1CE7" w:rsidRPr="00EC2D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6604FE" w:rsidRDefault="00591E8D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EC2DE7" w:rsidRDefault="00591E8D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Карымский</w:t>
            </w:r>
            <w:proofErr w:type="spellEnd"/>
            <w:r w:rsid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(округ)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EC2DE7" w:rsidRDefault="00C532F0" w:rsidP="003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95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95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81CE7" w:rsidRPr="00EC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81CE7" w:rsidRPr="00481CE7" w:rsidTr="00207EBB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481CE7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CE7" w:rsidRPr="00481CE7" w:rsidRDefault="00591E8D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Шилкинксий</w:t>
            </w:r>
            <w:proofErr w:type="spellEnd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1CE7" w:rsidRPr="00481CE7" w:rsidRDefault="00C532F0" w:rsidP="003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95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95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F71744" w:rsidRDefault="00F71744" w:rsidP="0030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A44B3" w:rsidRDefault="001A44B3" w:rsidP="0030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C04E0" w:rsidRDefault="000C04E0" w:rsidP="00FA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FA3E7D" w:rsidRPr="00FA3E7D">
        <w:rPr>
          <w:rFonts w:ascii="Times New Roman" w:hAnsi="Times New Roman" w:cs="Times New Roman"/>
          <w:sz w:val="28"/>
          <w:szCs w:val="28"/>
        </w:rPr>
        <w:t xml:space="preserve"> </w:t>
      </w:r>
      <w:r w:rsidR="00172E18" w:rsidRPr="00FA3E7D">
        <w:rPr>
          <w:rFonts w:ascii="Times New Roman" w:hAnsi="Times New Roman" w:cs="Times New Roman"/>
          <w:sz w:val="28"/>
          <w:szCs w:val="28"/>
        </w:rPr>
        <w:t>Губернатор</w:t>
      </w:r>
      <w:r w:rsidR="00172E18">
        <w:rPr>
          <w:rFonts w:ascii="Times New Roman" w:hAnsi="Times New Roman" w:cs="Times New Roman"/>
          <w:sz w:val="28"/>
          <w:szCs w:val="28"/>
        </w:rPr>
        <w:t>ом</w:t>
      </w:r>
      <w:r w:rsidR="00172E18" w:rsidRPr="00FA3E7D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72E18">
        <w:rPr>
          <w:rFonts w:ascii="Times New Roman" w:hAnsi="Times New Roman" w:cs="Times New Roman"/>
          <w:sz w:val="28"/>
          <w:szCs w:val="28"/>
        </w:rPr>
        <w:t>,</w:t>
      </w:r>
      <w:r w:rsidR="00172E18"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A3E7D" w:rsidRPr="00FA3E7D">
        <w:rPr>
          <w:rFonts w:ascii="Times New Roman" w:hAnsi="Times New Roman" w:cs="Times New Roman"/>
          <w:sz w:val="28"/>
          <w:szCs w:val="28"/>
        </w:rPr>
        <w:t>заместителями председателя Правительства Забайкальского края, заместителями Губернатора Забайкальского края</w:t>
      </w:r>
      <w:r w:rsidR="00FA3E7D"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было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проведено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955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</w:t>
      </w:r>
      <w:r w:rsidR="003955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670A7" w:rsidRPr="00D670A7" w:rsidRDefault="00D670A7" w:rsidP="00D6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 поступившие обращения рассмотрены в соответствии с Федеральным законом от 2 мая 2006 года № 59-ФЗ «О порядке рассмотрения обращений граждан Российской Федерации». </w:t>
      </w:r>
    </w:p>
    <w:sectPr w:rsidR="00D670A7" w:rsidRPr="00D670A7" w:rsidSect="0026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C31A8"/>
    <w:rsid w:val="000055D3"/>
    <w:rsid w:val="00006AAE"/>
    <w:rsid w:val="0001106C"/>
    <w:rsid w:val="0001200B"/>
    <w:rsid w:val="0001651D"/>
    <w:rsid w:val="00024536"/>
    <w:rsid w:val="00024B87"/>
    <w:rsid w:val="00032991"/>
    <w:rsid w:val="0003719A"/>
    <w:rsid w:val="00037B0C"/>
    <w:rsid w:val="000502D7"/>
    <w:rsid w:val="00050D22"/>
    <w:rsid w:val="0005591F"/>
    <w:rsid w:val="00057F74"/>
    <w:rsid w:val="00060A93"/>
    <w:rsid w:val="00060AE0"/>
    <w:rsid w:val="00065815"/>
    <w:rsid w:val="0007156B"/>
    <w:rsid w:val="00077976"/>
    <w:rsid w:val="000901D7"/>
    <w:rsid w:val="00091485"/>
    <w:rsid w:val="00091FE7"/>
    <w:rsid w:val="00093783"/>
    <w:rsid w:val="00095296"/>
    <w:rsid w:val="000A0586"/>
    <w:rsid w:val="000A4987"/>
    <w:rsid w:val="000C04E0"/>
    <w:rsid w:val="000C347F"/>
    <w:rsid w:val="000E19C3"/>
    <w:rsid w:val="000E5460"/>
    <w:rsid w:val="000F0224"/>
    <w:rsid w:val="001064C1"/>
    <w:rsid w:val="00106830"/>
    <w:rsid w:val="00106ACD"/>
    <w:rsid w:val="00111E56"/>
    <w:rsid w:val="001205C6"/>
    <w:rsid w:val="0012200A"/>
    <w:rsid w:val="00122E08"/>
    <w:rsid w:val="00135F91"/>
    <w:rsid w:val="00141E73"/>
    <w:rsid w:val="00142F2D"/>
    <w:rsid w:val="00147EB0"/>
    <w:rsid w:val="001550FB"/>
    <w:rsid w:val="001633CF"/>
    <w:rsid w:val="00164AAB"/>
    <w:rsid w:val="0017184B"/>
    <w:rsid w:val="00172E18"/>
    <w:rsid w:val="0017414E"/>
    <w:rsid w:val="00180D6D"/>
    <w:rsid w:val="00185ABB"/>
    <w:rsid w:val="001923DE"/>
    <w:rsid w:val="00194B20"/>
    <w:rsid w:val="0019585E"/>
    <w:rsid w:val="001A44B3"/>
    <w:rsid w:val="001A5392"/>
    <w:rsid w:val="001A7799"/>
    <w:rsid w:val="001B095D"/>
    <w:rsid w:val="001C7B47"/>
    <w:rsid w:val="001E3F89"/>
    <w:rsid w:val="001E538E"/>
    <w:rsid w:val="00203083"/>
    <w:rsid w:val="002068DF"/>
    <w:rsid w:val="00207EBB"/>
    <w:rsid w:val="00210C8E"/>
    <w:rsid w:val="00211A63"/>
    <w:rsid w:val="0021443F"/>
    <w:rsid w:val="00222350"/>
    <w:rsid w:val="002366D6"/>
    <w:rsid w:val="00240E2E"/>
    <w:rsid w:val="00244E34"/>
    <w:rsid w:val="002463EE"/>
    <w:rsid w:val="00253F4D"/>
    <w:rsid w:val="002603D4"/>
    <w:rsid w:val="00260F65"/>
    <w:rsid w:val="00262B7B"/>
    <w:rsid w:val="00262C75"/>
    <w:rsid w:val="002711B6"/>
    <w:rsid w:val="002846FB"/>
    <w:rsid w:val="00297C0D"/>
    <w:rsid w:val="002A0C72"/>
    <w:rsid w:val="002A7C85"/>
    <w:rsid w:val="002B2D70"/>
    <w:rsid w:val="002B442F"/>
    <w:rsid w:val="002B535E"/>
    <w:rsid w:val="002C2262"/>
    <w:rsid w:val="002C259F"/>
    <w:rsid w:val="002C33F5"/>
    <w:rsid w:val="002C6C36"/>
    <w:rsid w:val="002D1CEE"/>
    <w:rsid w:val="00302718"/>
    <w:rsid w:val="00307053"/>
    <w:rsid w:val="00307D7E"/>
    <w:rsid w:val="00314A4C"/>
    <w:rsid w:val="00330609"/>
    <w:rsid w:val="0033306E"/>
    <w:rsid w:val="00342E34"/>
    <w:rsid w:val="003560F0"/>
    <w:rsid w:val="003627E0"/>
    <w:rsid w:val="003649A6"/>
    <w:rsid w:val="00374D8F"/>
    <w:rsid w:val="0038298C"/>
    <w:rsid w:val="00384B30"/>
    <w:rsid w:val="00392364"/>
    <w:rsid w:val="00393AF1"/>
    <w:rsid w:val="00395525"/>
    <w:rsid w:val="003A3376"/>
    <w:rsid w:val="003A4A37"/>
    <w:rsid w:val="003A5723"/>
    <w:rsid w:val="003A6C08"/>
    <w:rsid w:val="003B0EAA"/>
    <w:rsid w:val="003B460F"/>
    <w:rsid w:val="003C724F"/>
    <w:rsid w:val="003D48F4"/>
    <w:rsid w:val="003D65D0"/>
    <w:rsid w:val="003E1DEE"/>
    <w:rsid w:val="003E6F9F"/>
    <w:rsid w:val="003F3933"/>
    <w:rsid w:val="003F5170"/>
    <w:rsid w:val="004009BB"/>
    <w:rsid w:val="00402EBA"/>
    <w:rsid w:val="00403F02"/>
    <w:rsid w:val="00407083"/>
    <w:rsid w:val="00410923"/>
    <w:rsid w:val="00411BD8"/>
    <w:rsid w:val="00436381"/>
    <w:rsid w:val="00443CEA"/>
    <w:rsid w:val="004461B4"/>
    <w:rsid w:val="00450A42"/>
    <w:rsid w:val="00453EF3"/>
    <w:rsid w:val="00464B63"/>
    <w:rsid w:val="0046550B"/>
    <w:rsid w:val="004743ED"/>
    <w:rsid w:val="00480659"/>
    <w:rsid w:val="00481CE7"/>
    <w:rsid w:val="004845C6"/>
    <w:rsid w:val="00486F5E"/>
    <w:rsid w:val="004909B2"/>
    <w:rsid w:val="004A13DE"/>
    <w:rsid w:val="004A35FF"/>
    <w:rsid w:val="004D1384"/>
    <w:rsid w:val="004D423D"/>
    <w:rsid w:val="004D6D51"/>
    <w:rsid w:val="004D7AF7"/>
    <w:rsid w:val="004E6878"/>
    <w:rsid w:val="004F201A"/>
    <w:rsid w:val="004F6E63"/>
    <w:rsid w:val="00501014"/>
    <w:rsid w:val="0050306B"/>
    <w:rsid w:val="00510DB9"/>
    <w:rsid w:val="00511290"/>
    <w:rsid w:val="00513760"/>
    <w:rsid w:val="005140E4"/>
    <w:rsid w:val="005207DD"/>
    <w:rsid w:val="00525763"/>
    <w:rsid w:val="00536747"/>
    <w:rsid w:val="005442D7"/>
    <w:rsid w:val="0054661D"/>
    <w:rsid w:val="00552654"/>
    <w:rsid w:val="005534A3"/>
    <w:rsid w:val="00554433"/>
    <w:rsid w:val="00560C4E"/>
    <w:rsid w:val="00563285"/>
    <w:rsid w:val="00575F26"/>
    <w:rsid w:val="00576948"/>
    <w:rsid w:val="00577E22"/>
    <w:rsid w:val="00580C5A"/>
    <w:rsid w:val="00583BEE"/>
    <w:rsid w:val="0058680E"/>
    <w:rsid w:val="00587401"/>
    <w:rsid w:val="00591E8D"/>
    <w:rsid w:val="005A17C6"/>
    <w:rsid w:val="005A68DB"/>
    <w:rsid w:val="005A7F14"/>
    <w:rsid w:val="005B3CC5"/>
    <w:rsid w:val="005B73C2"/>
    <w:rsid w:val="005C0F78"/>
    <w:rsid w:val="005C23FC"/>
    <w:rsid w:val="005C37D1"/>
    <w:rsid w:val="005C54DC"/>
    <w:rsid w:val="005C76DE"/>
    <w:rsid w:val="005D53B8"/>
    <w:rsid w:val="00607DFF"/>
    <w:rsid w:val="00622488"/>
    <w:rsid w:val="00622E18"/>
    <w:rsid w:val="00623D43"/>
    <w:rsid w:val="00634675"/>
    <w:rsid w:val="006457B7"/>
    <w:rsid w:val="006604FE"/>
    <w:rsid w:val="00662907"/>
    <w:rsid w:val="006649CB"/>
    <w:rsid w:val="00664D9B"/>
    <w:rsid w:val="006702D3"/>
    <w:rsid w:val="00676DD2"/>
    <w:rsid w:val="00677074"/>
    <w:rsid w:val="00680BF5"/>
    <w:rsid w:val="00682F1C"/>
    <w:rsid w:val="00683FC3"/>
    <w:rsid w:val="00684DCB"/>
    <w:rsid w:val="00687E32"/>
    <w:rsid w:val="00687E45"/>
    <w:rsid w:val="00690E74"/>
    <w:rsid w:val="00696C26"/>
    <w:rsid w:val="00696D58"/>
    <w:rsid w:val="006A6D90"/>
    <w:rsid w:val="006B0CFA"/>
    <w:rsid w:val="006C31A8"/>
    <w:rsid w:val="006E4F2E"/>
    <w:rsid w:val="006F13E5"/>
    <w:rsid w:val="00704E3F"/>
    <w:rsid w:val="00714CD1"/>
    <w:rsid w:val="007260FC"/>
    <w:rsid w:val="00731A5B"/>
    <w:rsid w:val="00736A97"/>
    <w:rsid w:val="00743E00"/>
    <w:rsid w:val="007477F3"/>
    <w:rsid w:val="007539C8"/>
    <w:rsid w:val="00755D29"/>
    <w:rsid w:val="0075735C"/>
    <w:rsid w:val="00761391"/>
    <w:rsid w:val="00767454"/>
    <w:rsid w:val="00774F79"/>
    <w:rsid w:val="00792652"/>
    <w:rsid w:val="00795038"/>
    <w:rsid w:val="00796F82"/>
    <w:rsid w:val="007B4F0A"/>
    <w:rsid w:val="007C2352"/>
    <w:rsid w:val="007C46D3"/>
    <w:rsid w:val="007D00FE"/>
    <w:rsid w:val="007D1254"/>
    <w:rsid w:val="007D1D4D"/>
    <w:rsid w:val="007D5933"/>
    <w:rsid w:val="007E3655"/>
    <w:rsid w:val="007F040A"/>
    <w:rsid w:val="007F076B"/>
    <w:rsid w:val="007F2306"/>
    <w:rsid w:val="00804796"/>
    <w:rsid w:val="00823F27"/>
    <w:rsid w:val="00824CA2"/>
    <w:rsid w:val="0083698D"/>
    <w:rsid w:val="008401D9"/>
    <w:rsid w:val="008524DA"/>
    <w:rsid w:val="008610F9"/>
    <w:rsid w:val="00881DC1"/>
    <w:rsid w:val="00892309"/>
    <w:rsid w:val="00892B40"/>
    <w:rsid w:val="008B2B23"/>
    <w:rsid w:val="008B72FE"/>
    <w:rsid w:val="008F2F1E"/>
    <w:rsid w:val="008F40F0"/>
    <w:rsid w:val="008F5D39"/>
    <w:rsid w:val="0092172C"/>
    <w:rsid w:val="009222FE"/>
    <w:rsid w:val="00947723"/>
    <w:rsid w:val="009502AC"/>
    <w:rsid w:val="009503C2"/>
    <w:rsid w:val="0096091B"/>
    <w:rsid w:val="0096156B"/>
    <w:rsid w:val="009641FE"/>
    <w:rsid w:val="00966484"/>
    <w:rsid w:val="00967620"/>
    <w:rsid w:val="00967C47"/>
    <w:rsid w:val="0097220A"/>
    <w:rsid w:val="00974AFD"/>
    <w:rsid w:val="009757C5"/>
    <w:rsid w:val="009950BC"/>
    <w:rsid w:val="009A3E6B"/>
    <w:rsid w:val="009A42E3"/>
    <w:rsid w:val="009A6D2F"/>
    <w:rsid w:val="009B06F3"/>
    <w:rsid w:val="009B45AB"/>
    <w:rsid w:val="009C35BF"/>
    <w:rsid w:val="009C5BD3"/>
    <w:rsid w:val="009D3820"/>
    <w:rsid w:val="009D5519"/>
    <w:rsid w:val="009E2875"/>
    <w:rsid w:val="009F30D1"/>
    <w:rsid w:val="009F5971"/>
    <w:rsid w:val="009F6195"/>
    <w:rsid w:val="00A05229"/>
    <w:rsid w:val="00A13A9C"/>
    <w:rsid w:val="00A15855"/>
    <w:rsid w:val="00A167E9"/>
    <w:rsid w:val="00A225F1"/>
    <w:rsid w:val="00A35D83"/>
    <w:rsid w:val="00A5480D"/>
    <w:rsid w:val="00A635DA"/>
    <w:rsid w:val="00A66EF0"/>
    <w:rsid w:val="00A851EB"/>
    <w:rsid w:val="00A95645"/>
    <w:rsid w:val="00AA166D"/>
    <w:rsid w:val="00AB799E"/>
    <w:rsid w:val="00AC1567"/>
    <w:rsid w:val="00AC2533"/>
    <w:rsid w:val="00AC322C"/>
    <w:rsid w:val="00AC37E9"/>
    <w:rsid w:val="00AC6739"/>
    <w:rsid w:val="00AD6B9C"/>
    <w:rsid w:val="00AE4153"/>
    <w:rsid w:val="00AE55AA"/>
    <w:rsid w:val="00AF45EB"/>
    <w:rsid w:val="00AF7CBF"/>
    <w:rsid w:val="00B05E8A"/>
    <w:rsid w:val="00B0706F"/>
    <w:rsid w:val="00B1093A"/>
    <w:rsid w:val="00B11CA9"/>
    <w:rsid w:val="00B14DE9"/>
    <w:rsid w:val="00B2293C"/>
    <w:rsid w:val="00B244B1"/>
    <w:rsid w:val="00B43145"/>
    <w:rsid w:val="00B46A15"/>
    <w:rsid w:val="00B46C32"/>
    <w:rsid w:val="00B50F47"/>
    <w:rsid w:val="00B518D8"/>
    <w:rsid w:val="00B548E6"/>
    <w:rsid w:val="00B565E9"/>
    <w:rsid w:val="00B6521B"/>
    <w:rsid w:val="00B73238"/>
    <w:rsid w:val="00B73516"/>
    <w:rsid w:val="00B815DE"/>
    <w:rsid w:val="00B83305"/>
    <w:rsid w:val="00B91DE8"/>
    <w:rsid w:val="00B944CA"/>
    <w:rsid w:val="00B978FB"/>
    <w:rsid w:val="00B97F5F"/>
    <w:rsid w:val="00BA14C7"/>
    <w:rsid w:val="00BC1B6D"/>
    <w:rsid w:val="00BD11AD"/>
    <w:rsid w:val="00BD3D89"/>
    <w:rsid w:val="00BD3F6E"/>
    <w:rsid w:val="00BD5ADE"/>
    <w:rsid w:val="00BE0239"/>
    <w:rsid w:val="00BE5A44"/>
    <w:rsid w:val="00BF08C0"/>
    <w:rsid w:val="00BF73AE"/>
    <w:rsid w:val="00C01432"/>
    <w:rsid w:val="00C01D93"/>
    <w:rsid w:val="00C06597"/>
    <w:rsid w:val="00C06E58"/>
    <w:rsid w:val="00C114C1"/>
    <w:rsid w:val="00C2649B"/>
    <w:rsid w:val="00C472D6"/>
    <w:rsid w:val="00C473CF"/>
    <w:rsid w:val="00C47C58"/>
    <w:rsid w:val="00C532F0"/>
    <w:rsid w:val="00C65CAC"/>
    <w:rsid w:val="00C71BE9"/>
    <w:rsid w:val="00C73023"/>
    <w:rsid w:val="00C77E3F"/>
    <w:rsid w:val="00C83767"/>
    <w:rsid w:val="00C94905"/>
    <w:rsid w:val="00C975BF"/>
    <w:rsid w:val="00CA798D"/>
    <w:rsid w:val="00CB04A2"/>
    <w:rsid w:val="00CB53B5"/>
    <w:rsid w:val="00CC443F"/>
    <w:rsid w:val="00CD6D96"/>
    <w:rsid w:val="00CF4B86"/>
    <w:rsid w:val="00D036C1"/>
    <w:rsid w:val="00D10035"/>
    <w:rsid w:val="00D115CF"/>
    <w:rsid w:val="00D20005"/>
    <w:rsid w:val="00D31BB8"/>
    <w:rsid w:val="00D338B4"/>
    <w:rsid w:val="00D556E0"/>
    <w:rsid w:val="00D5655E"/>
    <w:rsid w:val="00D61520"/>
    <w:rsid w:val="00D64FAC"/>
    <w:rsid w:val="00D670A7"/>
    <w:rsid w:val="00D80D3D"/>
    <w:rsid w:val="00D903F1"/>
    <w:rsid w:val="00D90622"/>
    <w:rsid w:val="00D95C7B"/>
    <w:rsid w:val="00D96903"/>
    <w:rsid w:val="00DA0892"/>
    <w:rsid w:val="00DC2427"/>
    <w:rsid w:val="00DC5749"/>
    <w:rsid w:val="00DD3585"/>
    <w:rsid w:val="00DD360E"/>
    <w:rsid w:val="00DD53CA"/>
    <w:rsid w:val="00DE021E"/>
    <w:rsid w:val="00E364AE"/>
    <w:rsid w:val="00E41DEA"/>
    <w:rsid w:val="00E424CA"/>
    <w:rsid w:val="00E44336"/>
    <w:rsid w:val="00E5106D"/>
    <w:rsid w:val="00E53475"/>
    <w:rsid w:val="00E650AD"/>
    <w:rsid w:val="00E72E94"/>
    <w:rsid w:val="00E809A6"/>
    <w:rsid w:val="00E93E35"/>
    <w:rsid w:val="00E96B2A"/>
    <w:rsid w:val="00EA0E9A"/>
    <w:rsid w:val="00EA6CA4"/>
    <w:rsid w:val="00EA7662"/>
    <w:rsid w:val="00EB1346"/>
    <w:rsid w:val="00EB1F1C"/>
    <w:rsid w:val="00EC2DE7"/>
    <w:rsid w:val="00EC6727"/>
    <w:rsid w:val="00EC7F3C"/>
    <w:rsid w:val="00ED268B"/>
    <w:rsid w:val="00ED38F2"/>
    <w:rsid w:val="00ED47C9"/>
    <w:rsid w:val="00ED4EB5"/>
    <w:rsid w:val="00ED77AB"/>
    <w:rsid w:val="00EE015C"/>
    <w:rsid w:val="00EE0F75"/>
    <w:rsid w:val="00EE579E"/>
    <w:rsid w:val="00EF1315"/>
    <w:rsid w:val="00EF5BCC"/>
    <w:rsid w:val="00EF729B"/>
    <w:rsid w:val="00F054C8"/>
    <w:rsid w:val="00F05761"/>
    <w:rsid w:val="00F123B4"/>
    <w:rsid w:val="00F305C3"/>
    <w:rsid w:val="00F54074"/>
    <w:rsid w:val="00F639FE"/>
    <w:rsid w:val="00F64DD5"/>
    <w:rsid w:val="00F71744"/>
    <w:rsid w:val="00F75109"/>
    <w:rsid w:val="00F81645"/>
    <w:rsid w:val="00F848B0"/>
    <w:rsid w:val="00F87AC9"/>
    <w:rsid w:val="00F87FA4"/>
    <w:rsid w:val="00F91682"/>
    <w:rsid w:val="00F9409A"/>
    <w:rsid w:val="00F94799"/>
    <w:rsid w:val="00FA3E7D"/>
    <w:rsid w:val="00FA566E"/>
    <w:rsid w:val="00FB168E"/>
    <w:rsid w:val="00FB29C5"/>
    <w:rsid w:val="00FB7B24"/>
    <w:rsid w:val="00FC5BF4"/>
    <w:rsid w:val="00FD6814"/>
    <w:rsid w:val="00FE34CC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87E45"/>
    <w:pPr>
      <w:spacing w:after="0" w:line="240" w:lineRule="auto"/>
      <w:ind w:firstLine="73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7E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3560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28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DEDED"/>
            <w:bottom w:val="single" w:sz="4" w:space="0" w:color="EDEDED"/>
            <w:right w:val="single" w:sz="4" w:space="0" w:color="EDEDED"/>
          </w:divBdr>
          <w:divsChild>
            <w:div w:id="17534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  <w:divsChild>
            <w:div w:id="658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33996751434705508"/>
          <c:y val="0.2705482295006138"/>
          <c:w val="0.40631667124117388"/>
          <c:h val="0.550305517075722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способы доставки обращений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11773143494973"/>
                  <c:y val="-4.1061921282857516E-2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6.5007180388532274E-2"/>
                  <c:y val="-1.7728618912487826E-2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0.10382185228770714"/>
                  <c:y val="-1.0987594688613257E-2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 val="8.96312832608560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Почта 
105
9%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4"/>
              <c:delete val="1"/>
            </c:dLbl>
            <c:dLbl>
              <c:idx val="5"/>
              <c:layout>
                <c:manualLayout>
                  <c:x val="8.1811983251933146E-2"/>
                  <c:y val="2.26114782802550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Нарочный</a:t>
                    </a:r>
                  </a:p>
                  <a:p>
                    <a:r>
                      <a:rPr lang="en-US"/>
                      <a:t>45</a:t>
                    </a:r>
                    <a:endParaRPr lang="ru-RU"/>
                  </a:p>
                  <a:p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-2.0561838044779304E-2"/>
                  <c:y val="3.1388704401230481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ССТУ
2
0,1%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7"/>
              <c:layout>
                <c:manualLayout>
                  <c:x val="-0.10512105646832651"/>
                  <c:y val="-0.22869477174877267"/>
                </c:manualLayout>
              </c:layout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 val="-0.12719523754206832"/>
                  <c:y val="-5.70233290449628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СЭД
5
0%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layout>
                <c:manualLayout>
                  <c:x val="0.32436143755135832"/>
                  <c:y val="-8.0644333373915744E-2"/>
                </c:manualLayout>
              </c:layout>
              <c:showVal val="1"/>
              <c:showCatName val="1"/>
              <c:showPercent val="1"/>
              <c:separator>
</c:separator>
            </c:dLbl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Лист1!$A$2:$A$12</c:f>
              <c:strCache>
                <c:ptCount val="11"/>
                <c:pt idx="0">
                  <c:v>Лично</c:v>
                </c:pt>
                <c:pt idx="1">
                  <c:v>Интернет-приемная</c:v>
                </c:pt>
                <c:pt idx="2">
                  <c:v>E-mail</c:v>
                </c:pt>
                <c:pt idx="3">
                  <c:v>Почта </c:v>
                </c:pt>
                <c:pt idx="4">
                  <c:v>телеграмма</c:v>
                </c:pt>
                <c:pt idx="5">
                  <c:v>Нарочный, курьер</c:v>
                </c:pt>
                <c:pt idx="6">
                  <c:v>ССТУ</c:v>
                </c:pt>
                <c:pt idx="7">
                  <c:v>МЭДО</c:v>
                </c:pt>
                <c:pt idx="8">
                  <c:v>СЭД</c:v>
                </c:pt>
                <c:pt idx="9">
                  <c:v>Из поездки Губернатора</c:v>
                </c:pt>
                <c:pt idx="10">
                  <c:v>Прямой эфир с Губернатором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105</c:v>
                </c:pt>
                <c:pt idx="1">
                  <c:v>328</c:v>
                </c:pt>
                <c:pt idx="2">
                  <c:v>3</c:v>
                </c:pt>
                <c:pt idx="3">
                  <c:v>122</c:v>
                </c:pt>
                <c:pt idx="4">
                  <c:v>0</c:v>
                </c:pt>
                <c:pt idx="5">
                  <c:v>45</c:v>
                </c:pt>
                <c:pt idx="6">
                  <c:v>0</c:v>
                </c:pt>
                <c:pt idx="7">
                  <c:v>467</c:v>
                </c:pt>
                <c:pt idx="8">
                  <c:v>0</c:v>
                </c:pt>
                <c:pt idx="9">
                  <c:v>7</c:v>
                </c:pt>
                <c:pt idx="10">
                  <c:v>0</c:v>
                </c:pt>
              </c:numCache>
            </c:numRef>
          </c:val>
        </c:ser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2693480873315647E-2"/>
          <c:y val="4.4547688808038707E-2"/>
          <c:w val="0.58756444048580458"/>
          <c:h val="0.88972585554436923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dLbls>
            <c:dLbl>
              <c:idx val="0"/>
              <c:layout>
                <c:manualLayout>
                  <c:x val="1.0729302325266362E-2"/>
                  <c:y val="-1.6350294993541254E-2"/>
                </c:manualLayout>
              </c:layout>
              <c:tx>
                <c:rich>
                  <a:bodyPr/>
                  <a:lstStyle/>
                  <a:p>
                    <a:r>
                      <a:rPr lang="ru-RU" sz="900" baseline="0"/>
                      <a:t>298-26,2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Государство. Общество. Политика</c:v>
                </c:pt>
              </c:strCache>
            </c:strRef>
          </c:tx>
          <c:dLbls>
            <c:dLbl>
              <c:idx val="0"/>
              <c:layout>
                <c:manualLayout>
                  <c:x val="1.2856604143556551E-2"/>
                  <c:y val="-3.4822865406335004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157-13,8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dLbls>
            <c:dLbl>
              <c:idx val="0"/>
              <c:layout>
                <c:manualLayout>
                  <c:x val="-2.2102738704244092E-3"/>
                  <c:y val="-1.968369321987843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313-27,5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Социальная сфера</c:v>
                </c:pt>
              </c:strCache>
            </c:strRef>
          </c:tx>
          <c:dLbls>
            <c:dLbl>
              <c:idx val="0"/>
              <c:layout>
                <c:manualLayout>
                  <c:x val="7.3057399896335737E-2"/>
                  <c:y val="-8.166290972734244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292</a:t>
                    </a:r>
                    <a:r>
                      <a:rPr lang="ru-RU"/>
                      <a:t>- 26%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283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dLbls>
            <c:dLbl>
              <c:idx val="0"/>
              <c:layout>
                <c:manualLayout>
                  <c:x val="-1.9397511143231266E-2"/>
                  <c:y val="4.8509348294186856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283-25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292</c:v>
                </c:pt>
              </c:numCache>
            </c:numRef>
          </c:val>
        </c:ser>
        <c:shape val="cylinder"/>
        <c:axId val="161131520"/>
        <c:axId val="164229888"/>
        <c:axId val="129034432"/>
      </c:bar3DChart>
      <c:catAx>
        <c:axId val="161131520"/>
        <c:scaling>
          <c:orientation val="minMax"/>
        </c:scaling>
        <c:axPos val="b"/>
        <c:tickLblPos val="nextTo"/>
        <c:crossAx val="164229888"/>
        <c:crosses val="autoZero"/>
        <c:auto val="1"/>
        <c:lblAlgn val="ctr"/>
        <c:lblOffset val="100"/>
      </c:catAx>
      <c:valAx>
        <c:axId val="1642298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1131520"/>
        <c:crosses val="autoZero"/>
        <c:crossBetween val="between"/>
      </c:valAx>
      <c:serAx>
        <c:axId val="12903443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4229888"/>
        <c:crosses val="autoZero"/>
      </c:ser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95C8-6807-446A-8ACD-7F02FE69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irkobl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Суровцева</dc:creator>
  <cp:lastModifiedBy>Исакова В.А.</cp:lastModifiedBy>
  <cp:revision>2</cp:revision>
  <cp:lastPrinted>2025-10-08T07:14:00Z</cp:lastPrinted>
  <dcterms:created xsi:type="dcterms:W3CDTF">2025-10-08T07:18:00Z</dcterms:created>
  <dcterms:modified xsi:type="dcterms:W3CDTF">2025-10-08T07:18:00Z</dcterms:modified>
</cp:coreProperties>
</file>