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contextualSpacing/>
        <w:jc w:val="right"/>
        <w:keepNext/>
        <w:spacing w:after="0"/>
        <w:widowControl w:val="off"/>
        <w:rPr>
          <w:rFonts w:ascii="Times New Roman" w:hAnsi="Times New Roman"/>
          <w:b/>
          <w:bCs/>
          <w:color w:val="000000"/>
          <w:sz w:val="28"/>
          <w:szCs w:val="20"/>
          <w:highlight w:val="white"/>
        </w:rPr>
        <w:outlineLvl w:val="0"/>
      </w:pPr>
      <w:r>
        <w:rPr>
          <w:rFonts w:ascii="Times New Roman" w:hAnsi="Times New Roman"/>
          <w:b/>
          <w:bCs/>
          <w:color w:val="000000"/>
          <w:sz w:val="28"/>
          <w:szCs w:val="20"/>
          <w:highlight w:val="white"/>
          <w:lang w:bidi="en-US"/>
        </w:rPr>
      </w:r>
      <w:r>
        <w:rPr>
          <w:rFonts w:ascii="Times New Roman" w:hAnsi="Times New Roman"/>
          <w:b/>
          <w:bCs/>
          <w:color w:val="000000"/>
          <w:sz w:val="28"/>
          <w:szCs w:val="20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0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  <w:fldChar w:fldCharType="begin"/>
      </w:r>
      <w:r>
        <w:rPr>
          <w:rFonts w:ascii="Times New Roman" w:hAnsi="Times New Roman"/>
          <w:sz w:val="2"/>
          <w:szCs w:val="2"/>
          <w:highlight w:val="white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  <w:highlight w:val="white"/>
        </w:rPr>
        <w:fldChar w:fldCharType="separate"/>
      </w:r>
      <w:r>
        <w:rPr>
          <w:rFonts w:ascii="Times New Roman" w:hAnsi="Times New Roman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  <w:highlight w:val="white"/>
        </w:rPr>
        <w:fldChar w:fldCharType="end"/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33"/>
          <w:szCs w:val="33"/>
          <w:highlight w:val="white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  <w:highlight w:val="white"/>
        </w:rPr>
      </w:pP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  <w:r>
        <w:rPr>
          <w:rFonts w:ascii="Times New Roman" w:hAnsi="Times New Roman"/>
          <w:b/>
          <w:spacing w:val="-11"/>
          <w:sz w:val="2"/>
          <w:szCs w:val="2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Cs/>
          <w:spacing w:val="-14"/>
          <w:highlight w:val="white"/>
        </w:rPr>
      </w:pPr>
      <w:r>
        <w:rPr>
          <w:rFonts w:ascii="Times New Roman" w:hAnsi="Times New Roman"/>
          <w:bCs/>
          <w:spacing w:val="-14"/>
          <w:sz w:val="35"/>
          <w:szCs w:val="35"/>
          <w:highlight w:val="white"/>
        </w:rPr>
        <w:t xml:space="preserve">ПОСТАНОВЛЕНИЕ</w:t>
      </w:r>
      <w:r>
        <w:rPr>
          <w:rFonts w:ascii="Times New Roman" w:hAnsi="Times New Roman"/>
          <w:bCs/>
          <w:spacing w:val="-14"/>
          <w:highlight w:val="white"/>
        </w:rPr>
      </w:r>
      <w:r>
        <w:rPr>
          <w:rFonts w:ascii="Times New Roman" w:hAnsi="Times New Roman"/>
          <w:bCs/>
          <w:spacing w:val="-14"/>
          <w:highlight w:val="white"/>
        </w:rPr>
      </w:r>
    </w:p>
    <w:p>
      <w:pPr>
        <w:pStyle w:val="920"/>
        <w:contextualSpacing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202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года      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Cs/>
          <w:spacing w:val="-6"/>
          <w:sz w:val="35"/>
          <w:szCs w:val="35"/>
          <w:highlight w:val="white"/>
        </w:rPr>
      </w:pPr>
      <w:r>
        <w:rPr>
          <w:rFonts w:ascii="Times New Roman" w:hAnsi="Times New Roman"/>
          <w:bCs/>
          <w:spacing w:val="-6"/>
          <w:sz w:val="35"/>
          <w:szCs w:val="35"/>
          <w:highlight w:val="white"/>
        </w:rPr>
        <w:t xml:space="preserve">г. Чита</w:t>
      </w:r>
      <w:r>
        <w:rPr>
          <w:rFonts w:ascii="Times New Roman" w:hAnsi="Times New Roman"/>
          <w:bCs/>
          <w:spacing w:val="-6"/>
          <w:sz w:val="35"/>
          <w:szCs w:val="35"/>
          <w:highlight w:val="white"/>
        </w:rPr>
      </w:r>
      <w:r>
        <w:rPr>
          <w:rFonts w:ascii="Times New Roman" w:hAnsi="Times New Roman"/>
          <w:bCs/>
          <w:spacing w:val="-6"/>
          <w:sz w:val="35"/>
          <w:szCs w:val="35"/>
          <w:highlight w:val="white"/>
        </w:rPr>
      </w:r>
    </w:p>
    <w:p>
      <w:pPr>
        <w:pStyle w:val="920"/>
        <w:contextualSpacing/>
        <w:jc w:val="center"/>
        <w:shd w:val="clear" w:color="auto" w:fill="ffffff"/>
        <w:rPr>
          <w:rFonts w:ascii="Times New Roman" w:hAnsi="Times New Roman"/>
          <w:bCs/>
          <w:spacing w:val="-14"/>
          <w:sz w:val="16"/>
          <w:szCs w:val="16"/>
          <w:highlight w:val="white"/>
        </w:rPr>
      </w:pPr>
      <w:r>
        <w:rPr>
          <w:rFonts w:ascii="Times New Roman" w:hAnsi="Times New Roman"/>
          <w:bCs/>
          <w:spacing w:val="-14"/>
          <w:sz w:val="16"/>
          <w:szCs w:val="16"/>
          <w:highlight w:val="white"/>
        </w:rPr>
      </w:r>
      <w:r>
        <w:rPr>
          <w:rFonts w:ascii="Times New Roman" w:hAnsi="Times New Roman"/>
          <w:bCs/>
          <w:spacing w:val="-14"/>
          <w:sz w:val="16"/>
          <w:szCs w:val="16"/>
          <w:highlight w:val="white"/>
        </w:rPr>
      </w:r>
      <w:r>
        <w:rPr>
          <w:rFonts w:ascii="Times New Roman" w:hAnsi="Times New Roman"/>
          <w:bCs/>
          <w:spacing w:val="-14"/>
          <w:sz w:val="16"/>
          <w:szCs w:val="16"/>
          <w:highlight w:val="white"/>
        </w:rPr>
      </w:r>
    </w:p>
    <w:p>
      <w:pPr>
        <w:pStyle w:val="921"/>
        <w:ind w:firstLine="567"/>
        <w:spacing w:before="0" w:after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 утверждении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Порядка предоставления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из бюджета Забайкальского края юридическим лицам (за исключением субсидии государственным (муниципальным) учреждениям) в целях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жилых проектов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Развитие жилищно-коммунального хозяйства Забайкальск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ого края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со статьей 78 Бюджетного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целях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жилые проекты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Развитие жилищно-коммунального хозяйства Забайкальского края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Правительство Забайкальского края пос</w:t>
      </w:r>
      <w:r>
        <w:rPr>
          <w:rFonts w:ascii="Times New Roman" w:hAnsi="Times New Roman"/>
          <w:sz w:val="28"/>
          <w:szCs w:val="28"/>
          <w:highlight w:val="white"/>
        </w:rPr>
        <w:t xml:space="preserve">тановляет: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прилагаемый Порядок предоставления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из бюджета Забайкальского края юридическим лицам (за исключением субсидии государственным (муниципальным) учреждениям)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целях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жилых проектов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Развитие жилищно-коммунального хозяйства Забайкал</w:t>
      </w:r>
      <w:r>
        <w:rPr>
          <w:rFonts w:ascii="Times New Roman" w:hAnsi="Times New Roman"/>
          <w:sz w:val="28"/>
          <w:szCs w:val="28"/>
          <w:highlight w:val="white"/>
        </w:rPr>
        <w:t xml:space="preserve">ьского края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trike/>
          <w:sz w:val="28"/>
          <w:szCs w:val="28"/>
          <w:highlight w:val="white"/>
        </w:rPr>
      </w:r>
      <w:r>
        <w:rPr>
          <w:rFonts w:ascii="Times New Roman" w:hAnsi="Times New Roman"/>
          <w:strike/>
          <w:sz w:val="28"/>
          <w:szCs w:val="28"/>
          <w:highlight w:val="white"/>
        </w:rPr>
      </w:r>
      <w:r>
        <w:rPr>
          <w:rFonts w:ascii="Times New Roman" w:hAnsi="Times New Roman"/>
          <w:strike/>
          <w:sz w:val="28"/>
          <w:szCs w:val="28"/>
          <w:highlight w:val="white"/>
        </w:rPr>
      </w:r>
    </w:p>
    <w:p>
      <w:pPr>
        <w:pStyle w:val="920"/>
        <w:ind w:firstLine="567"/>
        <w:jc w:val="both"/>
        <w:spacing w:after="0" w:line="240" w:lineRule="auto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trike/>
          <w:sz w:val="28"/>
          <w:szCs w:val="28"/>
          <w:highlight w:val="white"/>
        </w:rPr>
      </w:r>
      <w:r>
        <w:rPr>
          <w:rFonts w:ascii="Times New Roman" w:hAnsi="Times New Roman"/>
          <w:strike/>
          <w:sz w:val="28"/>
          <w:szCs w:val="28"/>
          <w:highlight w:val="white"/>
        </w:rPr>
      </w:r>
      <w:r>
        <w:rPr>
          <w:rFonts w:ascii="Times New Roman" w:hAnsi="Times New Roman"/>
          <w:strike/>
          <w:sz w:val="28"/>
          <w:szCs w:val="28"/>
          <w:highlight w:val="white"/>
        </w:rPr>
      </w:r>
    </w:p>
    <w:p>
      <w:pPr>
        <w:pStyle w:val="920"/>
        <w:contextualSpacing/>
        <w:ind w:firstLine="567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Исполняющий обязанности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первого заместителя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редседателя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3"/>
        <w:tabs>
          <w:tab w:val="left" w:pos="737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Забайкальского к</w:t>
      </w:r>
      <w:r>
        <w:rPr>
          <w:sz w:val="28"/>
          <w:szCs w:val="28"/>
          <w:highlight w:val="white"/>
        </w:rPr>
        <w:t xml:space="preserve">рая</w:t>
        <w:tab/>
      </w:r>
      <w:r>
        <w:rPr>
          <w:sz w:val="28"/>
          <w:szCs w:val="28"/>
          <w:highlight w:val="white"/>
        </w:rPr>
        <w:t xml:space="preserve">     </w:t>
      </w: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А.И.</w:t>
      </w:r>
      <w:r>
        <w:rPr>
          <w:sz w:val="28"/>
          <w:szCs w:val="28"/>
          <w:highlight w:val="white"/>
        </w:rPr>
        <w:t xml:space="preserve">Кефер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0"/>
        <w:contextualSpacing/>
        <w:ind w:left="482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contextualSpacing/>
        <w:ind w:left="4820"/>
        <w:jc w:val="center"/>
        <w:spacing w:after="0" w:line="240" w:lineRule="auto"/>
        <w:rPr>
          <w:rFonts w:ascii="Times New Roman" w:hAnsi="Times New Roman"/>
          <w:sz w:val="12"/>
          <w:szCs w:val="12"/>
          <w:highlight w:val="white"/>
        </w:rPr>
      </w:pP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</w:p>
    <w:p>
      <w:pPr>
        <w:pStyle w:val="920"/>
        <w:contextualSpacing/>
        <w:ind w:left="482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contextualSpacing/>
        <w:ind w:left="482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0"/>
        <w:contextualSpacing/>
        <w:ind w:left="482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2025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 №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3"/>
        <w:jc w:val="center"/>
        <w:rPr>
          <w:sz w:val="28"/>
          <w:szCs w:val="28"/>
          <w:highlight w:val="white"/>
        </w:rPr>
      </w:pPr>
      <w:r>
        <w:rPr>
          <w:color w:val="22272f"/>
          <w:sz w:val="32"/>
          <w:szCs w:val="32"/>
          <w:highlight w:val="white"/>
        </w:rPr>
        <w:t xml:space="preserve">Порядо</w:t>
      </w:r>
      <w:r>
        <w:rPr>
          <w:color w:val="22272f"/>
          <w:sz w:val="32"/>
          <w:szCs w:val="32"/>
          <w:highlight w:val="white"/>
        </w:rPr>
        <w:t xml:space="preserve">к</w:t>
      </w:r>
      <w:r>
        <w:rPr>
          <w:color w:val="22272f"/>
          <w:sz w:val="32"/>
          <w:szCs w:val="32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 xml:space="preserve">субсиди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из бюджета Забайкальского</w:t>
      </w:r>
      <w:r>
        <w:rPr>
          <w:sz w:val="28"/>
          <w:szCs w:val="28"/>
          <w:highlight w:val="white"/>
        </w:rPr>
        <w:t xml:space="preserve"> края юридическим лицам (з</w:t>
      </w:r>
      <w:r>
        <w:rPr>
          <w:sz w:val="28"/>
          <w:szCs w:val="28"/>
          <w:highlight w:val="white"/>
        </w:rPr>
        <w:t xml:space="preserve">а исключением субсидии государственным (муниципальным) учреждениям)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целях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жилых проектов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Развитие жилищно-коммунального хозяйства Забайкальского края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3"/>
        <w:jc w:val="center"/>
        <w:rPr>
          <w:color w:val="22272f"/>
          <w:sz w:val="32"/>
          <w:szCs w:val="32"/>
          <w:highlight w:val="white"/>
        </w:rPr>
      </w:pPr>
      <w:r>
        <w:rPr>
          <w:color w:val="22272f"/>
          <w:sz w:val="32"/>
          <w:szCs w:val="32"/>
          <w:highlight w:val="white"/>
        </w:rPr>
        <w:t xml:space="preserve">1. </w:t>
      </w:r>
      <w:r>
        <w:rPr>
          <w:color w:val="22272f"/>
          <w:sz w:val="32"/>
          <w:szCs w:val="32"/>
          <w:highlight w:val="white"/>
        </w:rPr>
        <w:t xml:space="preserve">Общие положения</w:t>
      </w:r>
      <w:r>
        <w:rPr>
          <w:color w:val="22272f"/>
          <w:sz w:val="32"/>
          <w:szCs w:val="32"/>
          <w:highlight w:val="white"/>
        </w:rPr>
      </w:r>
      <w:r>
        <w:rPr>
          <w:color w:val="22272f"/>
          <w:sz w:val="32"/>
          <w:szCs w:val="32"/>
          <w:highlight w:val="white"/>
        </w:rPr>
      </w:r>
    </w:p>
    <w:p>
      <w:pPr>
        <w:pStyle w:val="993"/>
        <w:numPr>
          <w:ilvl w:val="0"/>
          <w:numId w:val="12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Настоящий Порядок определяет цель, условия и порядок предоставления субсидии из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Забайкальского края юридическим лицам (за исключением субсидии государственным (муниципальным) учреждениям)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целях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жилых проектов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Развитие жилищно-коммунального хозяйства Забайкальского края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, утверж</w:t>
      </w:r>
      <w:r>
        <w:rPr>
          <w:sz w:val="28"/>
          <w:szCs w:val="28"/>
        </w:rPr>
        <w:t xml:space="preserve">денной от 30 декабря 2015 года № 650 </w:t>
      </w:r>
      <w:r>
        <w:rPr>
          <w:rFonts w:eastAsia="Calibri"/>
          <w:sz w:val="28"/>
          <w:szCs w:val="28"/>
          <w:lang w:eastAsia="en-US"/>
        </w:rPr>
        <w:t xml:space="preserve">далее соответственно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="Calibri"/>
          <w:sz w:val="28"/>
          <w:szCs w:val="28"/>
          <w:lang w:eastAsia="en-US"/>
        </w:rPr>
        <w:t xml:space="preserve"> субсидия, государственная программ</w:t>
      </w:r>
      <w:r>
        <w:rPr>
          <w:rFonts w:eastAsia="Calibri"/>
          <w:sz w:val="28"/>
          <w:szCs w:val="28"/>
          <w:lang w:eastAsia="en-US"/>
        </w:rPr>
        <w:t xml:space="preserve">а)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категорию получателя субсидии, резул</w:t>
      </w:r>
      <w:r>
        <w:rPr>
          <w:rFonts w:eastAsia="Calibri"/>
          <w:sz w:val="28"/>
          <w:szCs w:val="28"/>
          <w:lang w:eastAsia="en-US"/>
        </w:rPr>
        <w:t xml:space="preserve">ьтат предоставления субсидии, поряд</w:t>
      </w:r>
      <w:r>
        <w:rPr>
          <w:rFonts w:eastAsia="Calibri"/>
          <w:sz w:val="28"/>
          <w:szCs w:val="28"/>
          <w:lang w:eastAsia="en-US"/>
        </w:rPr>
        <w:t xml:space="preserve">ок возврата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субсидии в бюджет Забайкальского края в случае нарушения условий,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установленных при ее предоставлении, случаи и порядок возврата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текущем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остатков субси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дии, не использ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ованных в отчетном финанс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овом году,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 также реглам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ентирует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оложения об осуществлении в отношении получателя субсидии и лиц, указанных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"/document/12112604/entry/785"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пункте 5 статьи 78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ого коде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кса Российской Федерации, провер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ок Министерством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жилищно-ком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унального хозяйства, энергетики, цифровизаци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 связи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Забайкальского края (далее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Министерство) соблюдения ими порядка и условий предоставления субсидии, в том числе в части достижения 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езультата ее предоставления, а также про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верок органами государственного финансов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ого контроля в соответств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ии 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INK "https://internet.garant.ru/" \l "/document/12112604/entry/2681"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статьями 268.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cument/12112604/entry/2692"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269.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етног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ко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декса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Целью предоставления субсидий является финансовое обеспечение затрат, связанных с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беспечения инженерной инфраструктурой комплексных жилых проектов </w:t>
      </w:r>
      <w:r>
        <w:rPr>
          <w:sz w:val="28"/>
          <w:szCs w:val="28"/>
          <w:highlight w:val="white"/>
        </w:rPr>
        <w:t xml:space="preserve">в рамках государственной программы Забайкальского края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Развитие жилищно-коммунального хозяйства Забайкальского края</w:t>
      </w:r>
      <w:r>
        <w:rPr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none"/>
        </w:rPr>
        <w:t xml:space="preserve">Инфраструктурные проекты (мероприятия) реализуются в целях обеспечения комплексных жилых проектов инженерной инфраструктурой.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од комплексными жилыми проектами в настоящем Порядке понимается строительство одного или несколько жилых домов на территории Забайкальского края,объединенных единым архитектурным стилем, включая объекты инфраструктуры (парковки, детские площадки и т.д)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Под инфраструктурным проектом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(мероприятием)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края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настоящем Порядке понимается инфраструктурный проект края, отобранный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ent/401537766/entry/1000"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Правительства Российской Федерации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28 апреля 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года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№ 566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ении Правил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(одобрения)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проектов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(мероприятий)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источником финансового обеспечения расходов на реализацию которых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реализации инфраструктурных проектов за счет врем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 изменения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параметров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характеристик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отобранных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одобренных)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ктов (мероп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(далее –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равила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b/>
          <w:bCs/>
          <w:i/>
          <w:iCs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Субсидия предоставляется Министерством, осуществляющим функции главного распорядителя бюджетных средств, до которого в соответстви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"/document/12112604/entry/2"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бюджетным законода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льством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Российской Феде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рации как получателя бюджетных средств доведены в установленном порядке лимиты бюджетных обязательств на предоставление субсидии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 текущий финансовый год, очередной финансовый год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год, следующий за очередным финансовым годом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b/>
          <w:bCs/>
          <w:i/>
          <w:iCs/>
          <w:sz w:val="28"/>
          <w:szCs w:val="28"/>
          <w:highlight w:val="white"/>
        </w:rPr>
      </w:r>
      <w:r>
        <w:rPr>
          <w:rFonts w:eastAsia="Calibri"/>
          <w:b/>
          <w:bCs/>
          <w:i/>
          <w:iCs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Источником финансового обеспечения субсидии являются средства краевого бюджета,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лученные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из 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виде бюджетных кредитов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 обеспечение реализации инфраструктурных проектов (мероприятий) за счет временно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Правилами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бора.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i w:val="0"/>
          <w:iCs w:val="0"/>
          <w:sz w:val="28"/>
          <w:szCs w:val="28"/>
          <w:highlight w:val="white"/>
          <w:lang w:eastAsia="en-US"/>
        </w:rPr>
        <w:t xml:space="preserve">Субсидии предоставляется на финансовое обеспечение затрат, возникающих при реализации инфраструктурных проектов (мероприятий) края,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обренных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 заседани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президиума (штаба) Правител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ьс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твенной комиссии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региональному развитию в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(далее – Штаб) в соответствии с Правилами отбора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: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Брызгалова,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Кочеткова,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76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ЖК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Солнечный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город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Токмакова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30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Токмакова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30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6)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теплоснабжения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ЖК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Солнечный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город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7)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Брызгалова,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8)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Токмакова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30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  <w:r>
        <w:rPr>
          <w:rFonts w:eastAsia="Calibri"/>
          <w:sz w:val="24"/>
          <w:szCs w:val="24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9)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водоснабжения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Кочеткова,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76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10)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водоотведения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Брызгалова,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  <w:lang w:eastAsia="en-US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11)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водоотведения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Токмакова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30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  <w:r>
        <w:rPr>
          <w:rFonts w:eastAsia="Calibri"/>
          <w:sz w:val="28"/>
          <w:szCs w:val="28"/>
          <w:highlight w:val="white"/>
          <w:lang w:eastAsia="en-US"/>
          <w14:ligatures w14:val="non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4"/>
          <w:szCs w:val="24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12)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присоединение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сетям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водоотведения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МКД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ул.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Кочеткова,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76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(г.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Чита)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4"/>
          <w:szCs w:val="24"/>
          <w:highlight w:val="white"/>
          <w14:ligatures w14:val="none"/>
        </w:rPr>
      </w:r>
      <w:r>
        <w:rPr>
          <w:rFonts w:eastAsia="Calibri"/>
          <w:sz w:val="24"/>
          <w:szCs w:val="24"/>
          <w:highlight w:val="white"/>
          <w14:ligatures w14:val="non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bCs w:val="0"/>
          <w:i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убсидия предоставляется на финансовое обеспечение затрат получателя субсидии по одобренным инфраструктурным </w:t>
      </w:r>
      <w:r>
        <w:rPr>
          <w:sz w:val="28"/>
          <w:szCs w:val="28"/>
          <w:highlight w:val="white"/>
        </w:rPr>
        <w:t xml:space="preserve">проектам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(мероприятиям) края по направлениям расходов, предусмотренных пунктом 4 настоящего Порядка.</w:t>
      </w:r>
      <w:r>
        <w:rPr>
          <w:rFonts w:eastAsia="Calibri"/>
          <w:bCs w:val="0"/>
          <w:i w:val="0"/>
          <w:sz w:val="28"/>
          <w:szCs w:val="28"/>
          <w:highlight w:val="white"/>
        </w:rPr>
      </w:r>
      <w:r>
        <w:rPr>
          <w:rFonts w:eastAsia="Calibri"/>
          <w:bCs w:val="0"/>
          <w:i w:val="0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субсидии размещается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бюджетной системы Российской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Федерации в информационно-теле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коммуникационной сети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Интернет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(далее соответственн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– единый портал, сеть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Интернет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(в разделе единого портала) в порядке, установленном Министерством финансов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Отбор получателя субсидии осуществля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ется способом запроса предложения (дале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отбор) исходя из соответствия участника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отбора категории, требов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аниям, установленным настоящим Порядком.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словиями предоставления субсидии являются: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принятие решения о предоставлении субсидии в отношении пол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учателя субсидии;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соответствие получателя субсидии требованиям, указанным в наст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оящем Порядке;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соотве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тствие получателя субсидии категории, установленной настоящим Порядком;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4) заключение с получателем субсидии соглашения о предоставлении субсидии (да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лее - соглашение);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согласие получателя субсидии и лиц, указанных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https://internet.garant.ru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/" \l "/document/12112604/entry/785"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пункте 5 статьи 78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Бюджетного кодекса Российской Федерации, на осуществление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Министерством и органами госуда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рственного финансового контроля проверок, предусмотренных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rnet.garant.ru/" \l "/docu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ment/409094884/entry/1051"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51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настоящего Порядка;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запрет приобретения получателем субсидии, а также иными юридическими лицами, получаю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щими средства на основании договоров, заключенных с получателем субсидии, за счет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олученных из бюджета Заб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айкальского края средств иностранной валюты, за исключением операций, осуществляемых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document/12133556/entry/4"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валютным законодательством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Российской Федерации при за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купке (поставке) высокот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ехнологичного импортного оборудования, сырья и комплектующих изделий, а также связанных с достижением результатов предоставления этих средств иных оп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ераций, определенных настоящим Порядком;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7) включение в соглашение в случае уменьше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ния Министерству как пол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учателю средств краевого бюджета ранее доведенных лимитов бюджетных обязательств, указанных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/409094884/entry/1004"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пункте 4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настоящего Порядка, приводящего к невозможности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редоставления субсидии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размере, определенном в соглашении, условия о согласовании Министерством и получателем субсидии новых условий соглашения или о расторжении соглашени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при недостижении согласия по новым условиям;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8) соблюдение получателем субсидии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равил казначейского сопровождения ср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едств субсидии в порядке, установленном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"/document/12112604/entry/2"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бюдже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тным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законодательством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Российской Федерации;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9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принятие получателем субсидии обяз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ательства о достижении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результатов предоставления субсидии в соответствии с заключенным согл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ашением между получателем субсидии и Министерством.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Результатом предоставления субсидии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является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осуществление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технологического присоединения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(подключения)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 xml:space="preserve">ко</w:t>
      </w:r>
      <w:r>
        <w:rPr>
          <w:sz w:val="28"/>
          <w:szCs w:val="28"/>
          <w:highlight w:val="white"/>
        </w:rPr>
        <w:t xml:space="preserve">мплексных жилых проектов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теплоснабжению, водоснабжению и водоотведению</w:t>
      </w:r>
      <w:r>
        <w:rPr>
          <w:sz w:val="28"/>
          <w:szCs w:val="28"/>
          <w:highlight w:val="white"/>
        </w:rPr>
        <w:t xml:space="preserve">,</w:t>
      </w:r>
      <w:r>
        <w:rPr>
          <w:rFonts w:eastAsia="Calibri"/>
          <w:i/>
          <w:iCs/>
          <w:color w:val="auto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источником финансового обеспечения котор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кредиты, предоставляемые из федерального бюджета 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 финансовое обеспечение реализации 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еропри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ятий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3"/>
        <w:ind w:left="0" w:right="0" w:firstLine="709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93"/>
        <w:ind w:left="709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2.Требования к юридическим лицам при предоставлении субсидии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Участники отбора, представившие заявки на получение субсидии, должны соответствовать на первое число меся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ца, в котором предоставл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ена заявка, следующим требованиям: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шорных компаний в совокупности превышает 25 %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еских лиц, реализованное через участие в капитале указанных публичных акционерных обществ;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4)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получатель субсидии не получает средства из бюджета Забайкальского края на основании иных нормативных правовых актов Забайкальского края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 цели, установленные настоящим Порядком;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5)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получатель субсидии не является иностранным агентом в соответствии 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Федеральным законом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14 июля 2022 года № 255-ФЗ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«О контроле за деятельностью лиц, находящихся под иностранным влиянием»;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системы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7) у получателя субсидии отсутствуют просроченная задолженность по возврату в бюджет Забайкальского края иных субсидий,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бюджетных инвестиций, а также иная просроченная (неурегулированная) задолженность по денежным обязательствам перед Забайкальским краем;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ндивидуальным предпринимателем, не прекратил деятельность в качестве индивидуального предпринимателя;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9)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бора);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  <w:lang w:eastAsia="en-US"/>
        </w:rPr>
        <w:t xml:space="preserve">10)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</w:t>
      </w:r>
      <w:r>
        <w:rPr>
          <w:rFonts w:eastAsia="Calibri"/>
          <w:sz w:val="28"/>
          <w:szCs w:val="28"/>
          <w:highlight w:val="white"/>
        </w:rPr>
        <w:t xml:space="preserve">олучатель субсидии реализует комплексные жилые проекты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инфраструктурный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я, указанный в пункте 4 настоящего Порядка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17" w:lineRule="atLeast"/>
        <w:rPr>
          <w:rFonts w:eastAsia="Calibri"/>
          <w:sz w:val="28"/>
          <w:szCs w:val="28"/>
          <w:highlight w:val="red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red"/>
        </w:rPr>
      </w:r>
      <w:r>
        <w:rPr>
          <w:rFonts w:eastAsia="Calibri"/>
          <w:sz w:val="28"/>
          <w:szCs w:val="28"/>
          <w:highlight w:val="red"/>
        </w:rPr>
      </w:r>
    </w:p>
    <w:p>
      <w:pPr>
        <w:pStyle w:val="993"/>
        <w:ind w:left="709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Категория получ</w:t>
      </w:r>
      <w:r>
        <w:rPr>
          <w:rFonts w:eastAsia="Calibri"/>
          <w:sz w:val="28"/>
          <w:szCs w:val="28"/>
          <w:lang w:eastAsia="en-US"/>
        </w:rPr>
        <w:t xml:space="preserve">ателя субсидии, объем субсидии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93"/>
        <w:ind w:left="0" w:right="0" w:firstLine="709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К категории получателей субсидии в рамках настоящего Порядка относятся юридические лица (за исключением государственных (муниципальных) учреждений), реализующие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комплексные жилые проекты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Субсидия предоставляется пол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учателю субсидии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размере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объема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одобренно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Штабом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для соответствующего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инфраструктурного проекта (мероприятия) края, указанным в пункте 4 настоящего Порядка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3"/>
        <w:ind w:left="0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4. Порядок проведения отбора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Отбор осуществляется в государственной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интегрированной информационной сист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еме управления общественными финанса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(далее –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посредством Портала предоставления мер финансовой государственной поддержки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"https://promote.budget.gov.ru/" \t 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https://promote.budget.go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v.ru/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) в информационно-телекоммуникац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ионной сети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Интернет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Взаимодействие Министерства с участником отбора осуществляется в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 использованием документов в электронной форме.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Обеспечение доступа к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уществляется с использованием федераль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ной государс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енной инфо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рмационной системы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ения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государственных и муниципальных у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слуг в электронной форме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ff0000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Объявление о проведении отбора получателя субсидии (далее - объявление) размещается Министерством на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не позднее 5-го кален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дарного дня до дня нач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ала приема заяво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к после подписан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ия усиле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нной квалифицированной электронной подписью руководителя Министерства (уполномоченного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им лица) и публикации на едином портале информации о субсидии.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ff0000"/>
          <w:sz w:val="28"/>
          <w:szCs w:val="28"/>
          <w:highlight w:val="white"/>
        </w:rPr>
      </w:r>
      <w:r>
        <w:rPr>
          <w:rFonts w:eastAsia="Calibri"/>
          <w:color w:val="ff0000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Объявление формируется в электронной форме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осредством запол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нения соответствующих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форм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еб-интерфейса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ГИИС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подписывается усиленной квалифицированной электронной подписью руководителя Министерства (уполномоченного им лица) и включает в себя следующую информацию: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способ провед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ения отбора;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сроки проведения отбор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3) дату и время нача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л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 подачи заявки, а также дату и время окончания приема заявки, при этом дата окончания приема заявки не может быть ранее 10-го календарного дня, следующего за днем размещения объявления;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4) наим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еновани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е, место нахождения, почтовый 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дрес, 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дрес электронной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чты,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контактный телефон Министерства;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5) результаты предоставления субсидии,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доменное имя и (или) указатели страниц государственной информационной системы в сети «Интернет»;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7) требования к участникам отбора;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8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порядок подачи заявок участниками отбора и требования, предъявляемые 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содерж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анию за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явок, подаваемых участниками 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бора;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9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порядок отз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ыва участниками отбора заявок, порядок внесения изменений в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10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орядок рассмотрения заявок на предмет их соответствия установленным в объявлении требованиям,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катего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рии, ср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оки рассмотрения заявок;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11)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рядок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возврата заяво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 участникам отбора на доработку;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12)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порядок отклонения заявок, а также информацию об основаниях их отклонения;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13)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объем субсидии в рамках отбора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14)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порядок предоставления участникам отбо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 разъ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яснений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положений объявления о проведе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нии отбора, даты начала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оконч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ания срока такого предоставления;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15)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срок, в течение которого победитель отбора должен подписать соглашение;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16)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условия признания победителя отбора уклонившимся от заключения сог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лашения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вправе принять реше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ние об отмене проведения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тбора, кот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орое размещается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не позднее чем за 1 рабочий день до даты окончания срока подачи заявок участниками отбора.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сле ок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ончания срока отмены проведения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отбора и до заключения сог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лашени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с победителем отбора Министерство может отменить отбор только в случае возникновения обстоятельств непреодолимой силы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"/do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cument/10164072/entry/4013"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3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статьи 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01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Гражданского кодекса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под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писывае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тся усиленной квалифицированной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электронной подписью руко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водит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еля Министерства или уполномоченного им лица, размещается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и содержит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информацию о причинах отмены отбора.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Участн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ики отб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ора,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давшие заявку, информируются об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отмене проведения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ГИИ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Отбор считается отмененным со дня размещения объявления о его отмене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К участию в 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боре до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пускают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ся юридические лица, соответств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ующие требованиям, установ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ленны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настоящим Порядком и указанным в объявлении.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Заявка подается в Министерство в соответствии с требованиями и в сроки, указанные в объявлении, и формируется участниками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элект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ронной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форме посредством заполнения 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ответствующих экранных фор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веб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-интерфейса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 представления в 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следующих электронных копий документов: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редительных документов получателя субсидии,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подписанных уполномоченным лицом и заверенных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печатью (при наличии);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гарантийного письма в произвольной форме о соответствии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участн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ика отб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ора требованиям, установленным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https://internet.garant.ru/" \l "/document/409094884/entry/10111"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подпунктами 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"/document/409094884/entry/10114"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4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ant.r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u/" \l "/document/409094884/entry/1011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7"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PERLINK "https://internet.garant.ru/" \l "/document/409094884/entry/10118"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8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пункта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11 настоящего Порядка;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обяз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ательст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ва о достиже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результатов предоставления субсидии в произвольной форме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справ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ки терр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иториал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ьного органа Федеральной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налоговой службы об отсут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 в размере, не превышающем раз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мер, оп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ределен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ный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internet.gara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nt.ru/" \l "/document/10900200/entry/473"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3 статьи 47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Налогового кодекса Российской Федерации,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выданной не более чем за 30 календарных дней до даты подачи заявки (представляется участниками отбо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 по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обствен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ной инициативе);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согла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сия на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убликацию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(размещение) в информационно-телекоммуникационной сети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Интернет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етствую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щим отб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ором и результатом пр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едос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тавления субсидии, подава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емого посредством заполнения соответствующих экранных форм веб-интерфейса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документ, подтверждающий реализацию комплексных жилых проектов в соответствии с подпунктом 10 пункта 10 настоящего Порядка.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Заявка подписывается усиленной квалифицированной электронно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й подписью руководителя юрид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ическог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лица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или уполномоченного им ли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ца.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Датой и временем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редставления участником отбора заявки считаются дата и время подписания участником отбора заявки с присвоением ей регистрационного номера в ГИИС «Электронный бюджет».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Ответственность за полноту 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достов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ерность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информации и документов,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содержащихся в заявке, 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Электронные копии документов, включаемые в заявку, должны иметь распро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странен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ные отк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рытые форматы, обеспечива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ющие возможность просмотр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ознаком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ление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их содержимым без специа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льных программных или тех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нологических средств.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Любой участник отбора со дня размещения объявления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не позднее 3-го рабочего дня до дня завершения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подачи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заявок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вправе направить в Минист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ерство не более 5 запросо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о разъяснении положений объявления (далее – запрос о разъяснении) путем формирования в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соответствующего запроса о разъяснении.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в ответ на запрос о разъяснении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направляет разъяснение положени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й объявления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срок, установленный указанным объявлением, но не позднее 1 рабочего дня до дня завершения подачи заявок путем 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ормирования в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соответствующе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 разъяс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нения.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Представленное Министерством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разъяснение положений объяв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не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должно изменять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уть информации, содержащейся в указанном объявлении.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Доступ к разъяснению, формируемому в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et.garant.ru/" \l "/document/409094884/ent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ry/10242"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абзацем вторым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ящего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пункта, предос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тавляется всем участникам отбора.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Запросы о разъяснении, поступившие позднее 3-го рабочего дня до дня завершения подачи заявок, не подлежат рассмотрению Министе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рством.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Участники отбора до дня окончани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срока приема заявок, указа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нног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 в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объявлении, вправе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внести в нее изменения путем формирования в электронной форме уведомления об отзыве заявки в соответствии с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25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ящего Порядка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последующего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формирования новой заявки в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оответствии с требованиями, установленными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пунктами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21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22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настоящего Поря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дк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Изменения к заявке после предоставления их в установленном порядке становятся неотъемлемой частью заявки.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Участники отбора до наступления даты окончания срока прие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ма заявок, указанного в объявлении, вправе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тозвать заявку путем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мирования в электронной форме уведомления об отзыве заявки.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Не позднее 1 рабочего дня, следующего за днем окончания срока подачи заявок, установленного в объявлении, Министерству откры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вается доступ в ГИИС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к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заявке для ее рассмотрен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не позднее 1 рабочего дня, следующего за днем вскрытия заявки, установленного в объявлении, подписывает протокол вскрытия заявок, содержащий следующую информацию о пос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тупивших для участия в отборе заявках: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ре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гистрационный номер заяв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дату поступления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полное наименование участника отбора;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4) адрес юридического лица;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5) запрашиваемый участником отбора размер субсидии.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Протокол вскрытия заявок формир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автоматически и подписывается усиленной квалифицированной электронной подписью руководителя Мин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истерства или уполномоченного им лица в ГИИС «Электронный бюджет», а также размещается на едином портале не позднее рабочего дня,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ледующего за днем его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дписан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в течение 15 рабочих дней со дня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частников отбора на соот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ветств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требованиям, установленным настоящим Порядком.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Проверка участников отбора на соответствие требованиям, установленным настоящим Порядком, осуществляется автоматически в ГИИС «Электронный бюджет» по данным государственных инф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ормационных систем, в 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числ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Подтверждение соответствия участника отбора требованиям, установленным настоящим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рядком, не требуется в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лучае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наличия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 (за исключением случая, если участник отбора представ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ил указанные документы 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инфор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мацию по собственной инициативе).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Подтверждение соответствия участника отбора требованиям, установленным настоящим Порядком, в случае отсутствия технической возможности осуществления автоматической проверки в ГИИС «Электронный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бюджет» производится пу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тем пр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случаях если в целях полного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всестороннего и объект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ивного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разъяснения (далее – запрос) у участника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тбора в отношении информ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ации 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документов с использованием ГИИС «Электронный бюджет», направляемый при необх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одимости в равной мере всем участникам отбора.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запросе Министерство устанавливает срок представления участн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иком отбора разъяснения в отношении инф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ормации и документов, ко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торый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должен составлять не менее 2 рабочих дней со дня, следующего за днем размещения запроса.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вленные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запросом.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если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участн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получателя субсидии.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На стади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рассмотрения заявки Ми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нистер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ство принимает одно из следующих решений: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о признании заявки надлежащей. Заявка признается надлежащей, если она соответствует требованиям, указанным в объявлении, и при отсутствии оснований для отклонения заявки. Решение 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соответствии заявки треб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ования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м, указанным в объявлении, принимается Министерством на дату получения результатов проверки представленных участником отбора информации и документов, поданных в составе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об отклонении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о возврате заявки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доработку.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На стадии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рассм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отрения заявки основаниями: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для отклонения заявки являются: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auto"/>
          <w:sz w:val="28"/>
          <w:szCs w:val="28"/>
          <w:highlight w:val="white"/>
        </w:rPr>
      </w:pP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а) несоответствие участника отбора требованиям,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  <w:lang w:eastAsia="en-US"/>
        </w:rPr>
        <w:t xml:space="preserve">установленным настоящим Порядком;</w:t>
      </w:r>
      <w:r>
        <w:rPr>
          <w:rFonts w:eastAsia="Calibri"/>
          <w:color w:val="auto"/>
          <w:sz w:val="28"/>
          <w:szCs w:val="28"/>
          <w:highlight w:val="white"/>
        </w:rPr>
      </w:r>
      <w:r>
        <w:rPr>
          <w:rFonts w:eastAsia="Calibri"/>
          <w:color w:val="auto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б) недостоверность информации, содержащейся в документах, представленных в состав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в) подача учас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тником отбора заявки после даты и (или) времени, определенных для подачи заявки;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г) истечение срока для подачи участником отбора скорректированной заяв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ки после возврата ее на доработку;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для возврата заявки на доработку являются: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а) несоответствие предст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авленных докумен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тов и (или) заявки требованиям, установленным объявлением;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б) непредставление (представление не в полном объеме) документов, указанных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объявлении, и (или) незаполнение форм документов либо заполнение форм документо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частично; плохое качес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тво изображения симв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олов, букв и цифр, не позволяющее их прочитать.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Решение о возврате заявки на доработку принимается Министерством и доводится до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участника отбора с использованием ГИИС «Эле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ктронный бюджет» в течение 1 рабочего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дня со дня его принятия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 указ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анием оснований для возврата заявки, а также положений заявки, нуждающихся в доработке.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Участник отбора в течение 2 рабочих дней со дня получени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я решения о возврате заявки на доработку вправе доработать заявку и повторно напр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авить ее в Министерство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порядке, определенном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21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настоящего Порядка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Рассмотрение зая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вки после доработки осуществляется Министерством в порядке, определенном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29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настоящего Порядка.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 результатам рассмотрения заявок Министерство не позднее 1 рабочег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дня со дня окончания срока рассмотрения заявок подготавливает протокол рассмотр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ения заявок, включающий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информацию о количестве поступивших и рассмотренных заявок, информацию по каждому участнику отбора о признании его 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аявки надлежащей или об отклонении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заявки с указанием оснований для отклонения.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Протокол рассмотрения заявок фор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мируется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автоматически на основании результатов рассмотрения заявок и подписывается усиленной квалифицирова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нной электронной подписью руководителя Министерства или уполномоченного им лица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ГИИС «Э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лектронный бюдже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т», а также размещается на едином портале не позднее 1 рабочего дня, следующего за днем его подписания.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Победителем отбора признается участник отбо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ра, включенный в рейтинг, сформированный Министерством по результатам ранжировани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поступивших заявок,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пределах объема распределяемой субсидии, указанного в объявлении. Ранжирование поступивших заявок осуществляется исходя из соответствия участников отбо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 получателей субсидии категории и очередности их поступления.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целях завер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шения отбора и определен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ия победителя отбора в пределах объема распределяемой субсидии Министерство в течение 3 рабочих дней со дня окончания срока рассмотрения заявок формиру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ет в ГИИС «Электронный бюджет»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протокол подведения итогов отбора, включающий инфо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рмацию о победителе отбо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 с указанием размера субсидии, предусмотренной ему для предоставления, об отклонении заявок с указанием оснований для их отклонения, об участниках 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бора, не представивших информацию и документы (далее – протокол подведения ито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 в срок, установленный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запросе Министерства.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Протокол подведения итогов формируется на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"http://budget.gov.ru/" \t "_blank"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едином портале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автоматически на осн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овании результатов определения победителя отбора и подписывается усиленной квалиф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ицированной электронной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подписью руководителя Министерства или уполномоченного им лица в ГИИС «Электронный бюджет», а также размещается на едином портале не позднее 1 рабочего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дня, следующего за днем его подписания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Отбор признается несостоявшимся в сл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едующих случаях: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по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кончании срока подачи заявок подана только одна заявка;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по результатам рассмотрения заявок только одна заявка соответствует требованиям, установленн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ым настоящим Порядком;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3) по окончании срока подачи заявок не подано ни одной зая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вки;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4) по результатам р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ассмотрения заявок отклонены все заявки.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случае признания отбора несостоявшимся на основании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подпункта 1-2 пункта 38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настоящего Порядк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соглашение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заключается с участником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отбора, заявка которого признана соответствующей требованиям, установленным настоящим Порядком.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3"/>
        <w:ind w:left="709" w:right="0" w:firstLine="0"/>
        <w:jc w:val="center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5. Порядок предоставления субсидии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Субсидия предос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авляется получателю субсидии на основании соглашения. Соглашение, дополнительное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соглашение к соглашению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том числе дополнительное соглашение о расторжении соглашения (при необходимости), заключаются в соответствии с типовой формой, установленной Минист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ерством финансов Забайкальского края, в ГИИС «Электронный бюджет».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соглашении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редусматриваются: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усл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овия предоставления субсидии, включенные в соглашение в соответствии со статьей 78 Бюджетного кодекса Российской Федерации, в том числе условие о согла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сии получателя субсидии и лиц, указанных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u/" \l "/document/121126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04/entry/785"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пункте 5 статьи 78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Бюджетного кодекса Российской Федерации, на осуществление Министерством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 органами государственного финансового конт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роля проверок, предусмотрен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51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ящего Порядка;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условие о согласовании новых условий соглашения или о расторжении соглашения при недостижении согласия по новым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условиям в случае уменьшения Министерству ранее доведенных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лимитов бюджетных обя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зательств, приводящего 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невозможности предоставления субсидии в размере, определенном в соглашении;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реквизиты казначейского счета, открытого получателем субсидии в Управле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нии Федерального казначейства по Забайкальскому краю, на кот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орый подлежит перечис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лению субсидия;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4) резул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ьтаты предоставления субсидии;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5) цели предоставления субсидии, ее размер;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6) сроки и формы представления получателем субсидии отчетности о достижении значений результатов предоставления субсидии, об осуществлении расходов, источник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ом финансового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ия которых являются субсидии, а также сроки и формы представления получател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ем субсидии дополнительной отчетности (при необходимости);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7)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 также связанных с достижением результатов предоставления этих средств иных операций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определ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енных настоящим Порядком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8)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й Федерации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9) возможность осуществления расходов, источником финансового обеспечения которых являются не использованные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отчетном финансовом год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 остатки субсидии;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10) ответственность получателя субсидии за нарушение ус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ловий соглашения.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полнительного соглашения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к соглашению в части перемены лица в обязательстве с указанием в соглашени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юридического лица, являющегося правопреемником.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При реорганизации получателя субсидии в форме разделения, выделения, а также при ликвидации получателя субс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идии соглашение расторга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ется с формированием уведомления о расторжении соглашения в одностороннем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еспечения которых являет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ся субсидия, и возврате неиспользованного остатка субсидии в бюджет Забайка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льского края.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Заключение соглашения осуществляется в следующем порядке и сроки: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Министерство в течение 15 рабочих дней со дня формирования протокола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одведения итогов направл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яет получателю субсидии соответствующее уведомление о формировании в ГИИС 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Электронный бюджет» соглашения;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получатель субсидии в течение 10 рабочих дней со дня получения уведомления, предусмотренного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.garant.ru/" \l "/docume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nt/409094884/entry/10421"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подпунктом 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настоящего пункта, осуществляет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дписание соглашения в ГИИС «Электронный бюджет» усиленной квалифицированной электронной подписью руководителя юридического лица или уполномоченного им лица;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3) руководитель Министер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ства или уполномоченное им лицо в течение 2 рабочих дней со дня подписания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Победитель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отбора признается уклон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ившимся от заключения соглашения, если он не подписал соглашение в течение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указанного в объявлении срока на подписание в ГИИС «Электронный бюджет» и не напр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авил по нему возражения.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вправе отказаться от заключения 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глашения с получателем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убсидии в случае установления факта несоответствия получателя субсидии треб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ованиям, установленным настоящим Порядком,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или представления получателем недостоверной информации.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После заключения соглашения победитель отбора направляет в Министерство заявку на финансирование по форме, установленной соглашением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в течение 10 рабочих дней со дня получения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заявки на финансирование от получателя субсидии составляет заявку на финансирование в пределах лимитов бюджетных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обязательств, утвержденных в установленном порядке на предоставление субсидии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текущем финансовом году, очередном финансовом году и году, следующим за очередным финансовым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годом,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направляет ее в Министерство финансов Забайкальского края.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терство финансов Забайка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льского края на основании заявки на финансирование в соответствии с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енным кассовым планом в установленном порядке перечисляет Министерству средства субсидий в пределах средств, преду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смотренных в бюджете Заб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айкальского края на соответствующий финансовый год.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после пост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упления указанных средств, но не позднее 10-го рабочего дня, следующего за днем поступления средств, перечисляет субсиди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ю на лицевой счет получа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теля субсидии, предназначенный для учета операций со средствами участников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казначейского сопровождения, открытый территориальным органом Федерального казначейства.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В случае уменьшения в течение финансового года бюджетных ассигно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ваний на предоставление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субсидии, приводящего к невозможности предоставления субсидии в размере, оп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ределен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ном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соглашении, Министерство в течение 10 рабочих дней со дня доведения до него указанных лимитов согласовывает с получателем субсидии новые условия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соглашения. При недости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жении согласия по новым условиям соглашение расторгается.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Получатель су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бсидии обязан ежеквартально: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не позднее 10-го рабочего дня месяца, следующего за отчетным периодом, представлять в Министерство отчет об осуществлении расх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одов, источником финансо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вого обеспечения которых являются субсидии, с приложение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подтверждающих документов.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Документами, подтверждающими фактически произведенные расходы, источников которых стала субсидия, являются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выписка со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счета, открытого получателем субсидии в Управле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нии Федерального казначейства по Забайкальскому краю, об остатках средств субсидии,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реестры произведенных рас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трат, содержащие направления затрат и количественные показатели, с приложением копий заключенных договоров, платежных поручений с отметкой банка, счетов, счет-фактур, накладных, актов выполненных работ, актов о технологическом подключении (при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соединении);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не позднее 10-го рабочего дня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месяца, следующего за отчетным периодом, представлять в Министерство отчет о достижении значений результатов предоставления субсидии.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Предоставление указанн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ых отчетов осуществляетс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получателем субсидии в соответствии с типовой формой соглашения, установл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енной Министерством финансов Забайкальского края, в ГИИС «Электронный бюджет».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 имеет право устанавливать в соглашении сроки и формы представлени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получателем субсидии 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ополнительной отчетности.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Министерство в течение 30 рабочих дней со дня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получения отчетов, установленных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47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стоящего Порядка, осуществляет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их проверку в ГИИС «Эле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ктронный бюджет» на предмет: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1) полноты и правильности заполнения отчетов;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2) соответствия расходов, источником финансового обеспечения которых является субсидия, цели предоставления субсидии, установленно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й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HYPERLINK "https://inte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rnet.garant.ru/" \l "/do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cument/409094884/entry/1003"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его Порядка;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3) соответстви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я документов, подтверждающих фактически произведенные расходы, источником финансового обеспечения которых стала субсидия, перечню документов, установленному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абзацем вторым подпункта 1 настоящего пункта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го Порядка;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4) соответствия данных, указанных в отчете, данным, содержащимся в документах, подтверждающих фактически произведенные расходы, источником финанс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ового обеспечения которы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х стала субсидия.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По результатам проверки отчетов Министерство принимае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т одно из следующих решений: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1) о принятии отчета;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2) об отклонении отчета.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Основаниями для принятия решения об отклонении отчета являются: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1) неполное (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частичное) и (или) непра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вильное заполнение отчета;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2) несоответствие расходов, источником финансового обеспечения которых является субсидия, цели предоставления субсидии, установленной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HYPERLINK "https://internet.garant.ru/" \l "/document/4090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94884/entry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/1003"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ящего Порядка;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3) непредставление документов, подтверждающих фактически произведенные расходы, источником финансового обеспечения которых стала субсидия, определенных перечнем документов, установленным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HYPERLINK "https://internet.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garant.ru/" \l "/documen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t/409094884/entry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/1010"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пунктом 10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 настоящего Порядка;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4) несоответствие документов, подтверждающих фактически произведенные расходы, источнико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финансового обеспечения которых стала субсидия, перечню документов, установленному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net.garant.ru/" \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l "/document/409094884/entry/1010"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пунктом 10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настоящего Порядка;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5) несоответствие данных, указанных в отчете, данным, содержащимся в документах, подтверждающих фактически произведенные расходы, ист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очником финанс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ового обеспечения которы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х стала субсиди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В отношении получателя субсидии и лиц, указанных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"/document/12112604/entry/785"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пункте 5 статьи 78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Бюджетного кодекса Российской Федерации, осуществляются следую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щие проверки: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вом – проверки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соблюдения порядка и условий предоставления субсидии, в том числе в части достижения результатов их предоставления;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органами государственного финансового контроля - проверки в соответствии со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rnet.garant.ru/" \l "/do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cument/12112604/e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ntry/2681"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статьями 268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1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"/document/12112604/entry/2692"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269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2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Бюджетного кодекса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нарушения получателем субсидии условий, устано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вленных при их предостав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лении, выявленн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ого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новления указанных фактов выставляет получателю субсиди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требование о возврате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предоставленной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субсидии в полном объеме.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если получателем субсидии не достигнуты результаты предоставления субсидии, указанные в соглашении (за исключением недостижения результатов предоставления субсидии в силу возник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новения обстоятельств не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преодолимой сил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ы),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субсидии. При этом объем средств, подлежащих возврату (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V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возврата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рассчитывается по форму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5"/>
        <w:ind w:left="709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V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возврата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br w:type="textWrapping" w:clear="all"/>
      </w:r>
      <w:r>
        <w:rPr>
          <w:rFonts w:eastAsia="Calibri"/>
          <w:sz w:val="28"/>
          <w:szCs w:val="28"/>
          <w:highlight w:val="white"/>
          <w:lang w:eastAsia="en-US"/>
        </w:rPr>
        <w:t xml:space="preserve">=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(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V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субсидии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х k x p / n), где: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V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возврата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- размер субсидии, предоставленной получателю субсидии в отчетном финансовом году;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p - количество результатов предоставления субсидии, по которым индекс, отражающий ур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овень недостижения i-гo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результата испо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льзования субсидии, имеет положительное значение;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n - общее количество результатов предоставления субсидии;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k - коэффициент возврата субсидии, который рассчитывается по следующей формуле: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5"/>
        <w:ind w:left="0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k =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INCLUDEPICTURE "https:/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/internet.garant.ru/docu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ment/formula?revi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sion=1792025530&amp;text=U3RyaW5nKCNAODcyMSk=&amp;fmt=png" \* MERGEFORMATINET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D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/ p, где: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D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- индекс, отражающий уровень недостижения i-гo результата предоставления субсидии, который рассчитывается по следующей форму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5"/>
        <w:ind w:left="0" w:right="0" w:firstLine="0"/>
        <w:jc w:val="center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D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= 1 -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T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/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S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где: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T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- фактически достигнутое значение i-гo резуль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тата предоставления субсидии на отчетную дату;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S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i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- плановое значение i-гo результата предоставления субсидии, установленное соглашением.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709" w:right="0" w:firstLine="0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ри расчете коэффициента возврата разм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ера субсидии используютс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только положительные значения индекса, отражающего ур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овень недостижения i-гo результата предоставления субсидии.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Получатель субсидии в течение 25 рабочих дней с даты получения требования перечисляет необоснованно полученные ср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едства в Министерство.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неперечисления получателем субсидии необосн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ованно полученных средств указанные средства взыскиваются Министерством в судебном порядке в соответствии с действующим законодательством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Получатель су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бсидии несет ответственн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ость за достоверность информации и документов, представ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ляемых ими в Министерство для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получения субсидии, а также за целевое использование предоставленной субсидии в соответствии с действующим законодательством Российской Федерации.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Министерство несет 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тветственность за осуществление расходов бюджета Забайк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альского края, источником финансового обеспечения которых является субсидия, в соответствии с действующим законодательством.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Министерство: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ежеквартально не позднее 20-го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числа месяца, следующего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 кварталом, проводит: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соглашениями, и событий, отражающих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факт завершения соответствующего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мероприятия по получению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результата предоставления субсидии (контрольная точка), в порядке и по формам, которые установлены Министерством финансов Российской Федерации;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оценку достижения результатов предоставления субсидии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основании отчетов, представлен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ных получателем субсидии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эффективности использования средств субсидии;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2) в срок до 15 апреля текущего года представляет в Министерство финансов Забайкальского края отчет о достижении значений результатов предоставления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убсидии за отчетный финансовый год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Остатки субсидии,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не использованные в текущем финансовом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подлежат возврату в бюджет Забайкальского края в течение первых 15 рабочих дней года, следующего за годом предоставления субсидии.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образования у получател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 субсидии не использованного в текущем финансовом год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 остатка субсидии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(далее – неиспользованный остаток субсидии) возможно осуществление расходов, источником финансового обеспечения которых являются неиспользованные остатки субсидии, при принятии Министерством по сог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ласованию с Министерством финансов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Забайкальского края реш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ения о наличии потребности в указанных средствах (далее - решение о наличии потребности).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Для получения решения о наличии потребности получатель субсидии представляет в Министерство пояснительную за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писку с обоснованием потребности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остатках средств субсид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образования неиспользованного остатка субсидии и отсутствия решения о наличии потребности получатель субсидии возвращает неиспользованный остаток субсидии в Министерство в течение первы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х 15 рабочих дней года, следующего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 годом предоставления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субсидии.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spacing w:before="0" w:beforeAutospacing="0" w:after="0" w:afterAutospacing="0" w:line="23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случае невозврата неиспользованного остатка субсидии в установленный срок Министерство в течение 10 рабочих дней направляет получателю субсидии требование о его возврате.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 Light">
    <w:panose1 w:val="020F0502020204030204"/>
  </w:font>
  <w:font w:name="Times New Roman CYR">
    <w:panose1 w:val="020206030504050203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35"/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20"/>
    <w:next w:val="92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20"/>
    <w:next w:val="920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20"/>
    <w:next w:val="920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20"/>
    <w:next w:val="920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20"/>
    <w:next w:val="920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20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921">
    <w:name w:val="Заголовок 1"/>
    <w:basedOn w:val="920"/>
    <w:next w:val="920"/>
    <w:link w:val="927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eastAsia="Times New Roman"/>
      <w:b/>
      <w:bCs/>
      <w:color w:val="26282f"/>
      <w:sz w:val="24"/>
      <w:szCs w:val="24"/>
      <w:lang w:val="en-US" w:eastAsia="en-US"/>
    </w:rPr>
  </w:style>
  <w:style w:type="paragraph" w:styleId="922">
    <w:name w:val="Заголовок 2"/>
    <w:basedOn w:val="920"/>
    <w:next w:val="920"/>
    <w:link w:val="928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1"/>
    </w:pPr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paragraph" w:styleId="923">
    <w:name w:val="Заголовок 3"/>
    <w:basedOn w:val="920"/>
    <w:next w:val="920"/>
    <w:link w:val="929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2"/>
    </w:pPr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styleId="924">
    <w:name w:val="Основной шрифт абзаца"/>
    <w:next w:val="924"/>
    <w:link w:val="920"/>
    <w:uiPriority w:val="1"/>
    <w:unhideWhenUsed/>
  </w:style>
  <w:style w:type="table" w:styleId="925">
    <w:name w:val="Обычная таблица"/>
    <w:next w:val="925"/>
    <w:link w:val="920"/>
    <w:uiPriority w:val="99"/>
    <w:semiHidden/>
    <w:unhideWhenUsed/>
    <w:tblPr/>
  </w:style>
  <w:style w:type="numbering" w:styleId="926">
    <w:name w:val="Нет списка"/>
    <w:next w:val="926"/>
    <w:link w:val="920"/>
    <w:uiPriority w:val="99"/>
    <w:semiHidden/>
    <w:unhideWhenUsed/>
  </w:style>
  <w:style w:type="character" w:styleId="927">
    <w:name w:val="Заголовок 1 Знак"/>
    <w:next w:val="927"/>
    <w:link w:val="921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928">
    <w:name w:val="Заголовок 2 Знак"/>
    <w:next w:val="928"/>
    <w:link w:val="922"/>
    <w:uiPriority w:val="9"/>
    <w:semiHidden/>
    <w:rPr>
      <w:rFonts w:ascii="Calibri Light" w:hAnsi="Calibri Light" w:eastAsia="Times New Roman"/>
      <w:b/>
      <w:bCs/>
      <w:i/>
      <w:iCs/>
      <w:sz w:val="28"/>
      <w:szCs w:val="28"/>
    </w:rPr>
  </w:style>
  <w:style w:type="character" w:styleId="929">
    <w:name w:val="Заголовок 3 Знак"/>
    <w:next w:val="929"/>
    <w:link w:val="923"/>
    <w:uiPriority w:val="9"/>
    <w:semiHidden/>
    <w:rPr>
      <w:rFonts w:ascii="Calibri Light" w:hAnsi="Calibri Light" w:eastAsia="Times New Roman"/>
      <w:b/>
      <w:bCs/>
      <w:sz w:val="26"/>
      <w:szCs w:val="26"/>
    </w:rPr>
  </w:style>
  <w:style w:type="paragraph" w:styleId="930">
    <w:name w:val="Текст выноски"/>
    <w:basedOn w:val="920"/>
    <w:next w:val="930"/>
    <w:link w:val="931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931">
    <w:name w:val="Текст выноски Знак"/>
    <w:next w:val="931"/>
    <w:link w:val="930"/>
    <w:uiPriority w:val="99"/>
    <w:semiHidden/>
    <w:rPr>
      <w:rFonts w:ascii="Segoe UI" w:hAnsi="Segoe UI" w:cs="Segoe UI"/>
      <w:sz w:val="18"/>
      <w:szCs w:val="18"/>
    </w:rPr>
  </w:style>
  <w:style w:type="character" w:styleId="932">
    <w:name w:val="Гипертекстовая ссылка"/>
    <w:next w:val="932"/>
    <w:link w:val="920"/>
    <w:uiPriority w:val="99"/>
    <w:rPr>
      <w:color w:val="106bbe"/>
    </w:rPr>
  </w:style>
  <w:style w:type="paragraph" w:styleId="933">
    <w:name w:val="Нормальный (таблица)"/>
    <w:basedOn w:val="920"/>
    <w:next w:val="920"/>
    <w:link w:val="920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34">
    <w:name w:val="Прижатый влево"/>
    <w:basedOn w:val="920"/>
    <w:next w:val="920"/>
    <w:link w:val="920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35">
    <w:name w:val="Верхний колонтитул"/>
    <w:basedOn w:val="920"/>
    <w:next w:val="935"/>
    <w:link w:val="936"/>
    <w:uiPriority w:val="99"/>
    <w:unhideWhenUsed/>
    <w:pPr>
      <w:ind w:firstLine="720"/>
      <w:jc w:val="both"/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 CYR" w:hAnsi="Times New Roman CYR" w:eastAsia="Times New Roman"/>
      <w:sz w:val="24"/>
      <w:szCs w:val="24"/>
      <w:lang w:val="en-US" w:eastAsia="en-US"/>
    </w:rPr>
  </w:style>
  <w:style w:type="character" w:styleId="936">
    <w:name w:val="Верхний колонтитул Знак"/>
    <w:next w:val="936"/>
    <w:link w:val="935"/>
    <w:uiPriority w:val="99"/>
    <w:rPr>
      <w:rFonts w:ascii="Times New Roman CYR" w:hAnsi="Times New Roman CYR" w:eastAsia="Times New Roman" w:cs="Times New Roman CYR"/>
      <w:sz w:val="24"/>
      <w:szCs w:val="24"/>
    </w:rPr>
  </w:style>
  <w:style w:type="paragraph" w:styleId="937">
    <w:name w:val="Нижний колонтитул"/>
    <w:basedOn w:val="920"/>
    <w:next w:val="937"/>
    <w:link w:val="93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8">
    <w:name w:val="Нижний колонтитул Знак"/>
    <w:next w:val="938"/>
    <w:link w:val="937"/>
    <w:uiPriority w:val="99"/>
    <w:rPr>
      <w:sz w:val="22"/>
      <w:szCs w:val="22"/>
      <w:lang w:eastAsia="en-US"/>
    </w:rPr>
  </w:style>
  <w:style w:type="character" w:styleId="939">
    <w:name w:val="Цветовое выделение"/>
    <w:next w:val="939"/>
    <w:link w:val="920"/>
    <w:uiPriority w:val="99"/>
    <w:rPr>
      <w:b/>
      <w:color w:val="26282f"/>
    </w:rPr>
  </w:style>
  <w:style w:type="paragraph" w:styleId="940">
    <w:name w:val="Абзац списка"/>
    <w:basedOn w:val="920"/>
    <w:next w:val="940"/>
    <w:link w:val="920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941">
    <w:name w:val="ConsPlusNonformat"/>
    <w:next w:val="941"/>
    <w:link w:val="92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42">
    <w:name w:val="Знак примечания"/>
    <w:next w:val="942"/>
    <w:link w:val="920"/>
    <w:uiPriority w:val="99"/>
    <w:semiHidden/>
    <w:unhideWhenUsed/>
    <w:rPr>
      <w:sz w:val="16"/>
      <w:szCs w:val="16"/>
    </w:rPr>
  </w:style>
  <w:style w:type="paragraph" w:styleId="943">
    <w:name w:val="Текст примечания"/>
    <w:basedOn w:val="920"/>
    <w:next w:val="943"/>
    <w:link w:val="944"/>
    <w:uiPriority w:val="99"/>
    <w:unhideWhenUsed/>
    <w:rPr>
      <w:sz w:val="20"/>
      <w:szCs w:val="20"/>
      <w:lang w:val="en-US"/>
    </w:rPr>
  </w:style>
  <w:style w:type="character" w:styleId="944">
    <w:name w:val="Текст примечания Знак"/>
    <w:next w:val="944"/>
    <w:link w:val="943"/>
    <w:uiPriority w:val="99"/>
    <w:rPr>
      <w:lang w:eastAsia="en-US"/>
    </w:rPr>
  </w:style>
  <w:style w:type="paragraph" w:styleId="945">
    <w:name w:val="Тема примечания"/>
    <w:basedOn w:val="943"/>
    <w:next w:val="943"/>
    <w:link w:val="946"/>
    <w:uiPriority w:val="99"/>
    <w:semiHidden/>
    <w:unhideWhenUsed/>
    <w:rPr>
      <w:b/>
      <w:bCs/>
    </w:rPr>
  </w:style>
  <w:style w:type="character" w:styleId="946">
    <w:name w:val="Тема примечания Знак"/>
    <w:next w:val="946"/>
    <w:link w:val="945"/>
    <w:uiPriority w:val="99"/>
    <w:semiHidden/>
    <w:rPr>
      <w:b/>
      <w:bCs/>
      <w:lang w:eastAsia="en-US"/>
    </w:rPr>
  </w:style>
  <w:style w:type="table" w:styleId="947">
    <w:name w:val="Сетка таблицы3"/>
    <w:basedOn w:val="925"/>
    <w:next w:val="948"/>
    <w:link w:val="920"/>
    <w:uiPriority w:val="39"/>
    <w:rPr>
      <w:rFonts w:ascii="Calibri" w:hAnsi="Calibri" w:cs="Times New Roman"/>
      <w:sz w:val="22"/>
      <w:szCs w:val="22"/>
      <w:lang w:eastAsia="en-US"/>
    </w:rPr>
    <w:tblPr/>
  </w:style>
  <w:style w:type="table" w:styleId="948">
    <w:name w:val="Сетка таблицы"/>
    <w:basedOn w:val="925"/>
    <w:next w:val="948"/>
    <w:link w:val="920"/>
    <w:uiPriority w:val="39"/>
    <w:tblPr/>
  </w:style>
  <w:style w:type="character" w:styleId="949">
    <w:name w:val="Гиперссылка"/>
    <w:next w:val="949"/>
    <w:link w:val="920"/>
    <w:uiPriority w:val="99"/>
    <w:semiHidden/>
    <w:unhideWhenUsed/>
    <w:rPr>
      <w:color w:val="0563c1"/>
      <w:u w:val="single"/>
    </w:rPr>
  </w:style>
  <w:style w:type="character" w:styleId="950">
    <w:name w:val="Просмотренная гиперссылка"/>
    <w:next w:val="950"/>
    <w:link w:val="920"/>
    <w:uiPriority w:val="99"/>
    <w:semiHidden/>
    <w:unhideWhenUsed/>
    <w:rPr>
      <w:color w:val="954f72"/>
      <w:u w:val="single"/>
    </w:rPr>
  </w:style>
  <w:style w:type="paragraph" w:styleId="951">
    <w:name w:val="xl68"/>
    <w:basedOn w:val="920"/>
    <w:next w:val="951"/>
    <w:link w:val="920"/>
    <w:pPr>
      <w:spacing w:before="100" w:beforeAutospacing="1" w:after="100" w:afterAutospacing="1" w:line="240" w:lineRule="auto"/>
    </w:pPr>
    <w:rPr>
      <w:rFonts w:ascii="Arial Narrow" w:hAnsi="Arial Narrow" w:eastAsia="Times New Roman"/>
      <w:sz w:val="24"/>
      <w:szCs w:val="24"/>
      <w:lang w:eastAsia="ru-RU"/>
    </w:rPr>
  </w:style>
  <w:style w:type="paragraph" w:styleId="952">
    <w:name w:val="xl69"/>
    <w:basedOn w:val="920"/>
    <w:next w:val="952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3">
    <w:name w:val="xl70"/>
    <w:basedOn w:val="920"/>
    <w:next w:val="953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4">
    <w:name w:val="xl71"/>
    <w:basedOn w:val="920"/>
    <w:next w:val="954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5">
    <w:name w:val="xl72"/>
    <w:basedOn w:val="920"/>
    <w:next w:val="955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6">
    <w:name w:val="xl73"/>
    <w:basedOn w:val="920"/>
    <w:next w:val="956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b/>
      <w:bCs/>
      <w:sz w:val="24"/>
      <w:szCs w:val="24"/>
      <w:lang w:eastAsia="ru-RU"/>
    </w:rPr>
  </w:style>
  <w:style w:type="paragraph" w:styleId="957">
    <w:name w:val="xl74"/>
    <w:basedOn w:val="920"/>
    <w:next w:val="957"/>
    <w:link w:val="920"/>
    <w:pPr>
      <w:spacing w:before="100" w:beforeAutospacing="1" w:after="100" w:afterAutospacing="1" w:line="240" w:lineRule="auto"/>
      <w:shd w:val="clear" w:color="000000" w:fill="d9e1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8">
    <w:name w:val="xl75"/>
    <w:basedOn w:val="920"/>
    <w:next w:val="958"/>
    <w:link w:val="920"/>
    <w:pPr>
      <w:spacing w:before="100" w:beforeAutospacing="1" w:after="100" w:afterAutospacing="1" w:line="240" w:lineRule="auto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59">
    <w:name w:val="xl76"/>
    <w:basedOn w:val="920"/>
    <w:next w:val="959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0">
    <w:name w:val="xl77"/>
    <w:basedOn w:val="920"/>
    <w:next w:val="960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1">
    <w:name w:val="xl78"/>
    <w:basedOn w:val="920"/>
    <w:next w:val="961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2">
    <w:name w:val="xl79"/>
    <w:basedOn w:val="920"/>
    <w:next w:val="962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3">
    <w:name w:val="xl80"/>
    <w:basedOn w:val="920"/>
    <w:next w:val="963"/>
    <w:link w:val="920"/>
    <w:pPr>
      <w:spacing w:before="100" w:beforeAutospacing="1" w:after="100" w:afterAutospacing="1" w:line="240" w:lineRule="auto"/>
      <w:shd w:val="clear" w:color="000000" w:fill="ddebf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4">
    <w:name w:val="xl81"/>
    <w:basedOn w:val="920"/>
    <w:next w:val="964"/>
    <w:link w:val="920"/>
    <w:pPr>
      <w:spacing w:before="100" w:beforeAutospacing="1" w:after="100" w:afterAutospacing="1" w:line="240" w:lineRule="auto"/>
      <w:shd w:val="clear" w:color="000000" w:fill="ddebf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5">
    <w:name w:val="xl82"/>
    <w:basedOn w:val="920"/>
    <w:next w:val="965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6">
    <w:name w:val="xl83"/>
    <w:basedOn w:val="920"/>
    <w:next w:val="966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7">
    <w:name w:val="xl84"/>
    <w:basedOn w:val="920"/>
    <w:next w:val="967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8">
    <w:name w:val="xl85"/>
    <w:basedOn w:val="920"/>
    <w:next w:val="968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69">
    <w:name w:val="xl86"/>
    <w:basedOn w:val="920"/>
    <w:next w:val="969"/>
    <w:link w:val="920"/>
    <w:pPr>
      <w:spacing w:before="100" w:beforeAutospacing="1" w:after="100" w:afterAutospacing="1" w:line="240" w:lineRule="auto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0">
    <w:name w:val="xl87"/>
    <w:basedOn w:val="920"/>
    <w:next w:val="970"/>
    <w:link w:val="920"/>
    <w:pPr>
      <w:spacing w:before="100" w:beforeAutospacing="1" w:after="100" w:afterAutospacing="1" w:line="240" w:lineRule="auto"/>
      <w:shd w:val="clear" w:color="000000" w:fill="e2ef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1">
    <w:name w:val="xl88"/>
    <w:basedOn w:val="920"/>
    <w:next w:val="971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2">
    <w:name w:val="xl89"/>
    <w:basedOn w:val="920"/>
    <w:next w:val="972"/>
    <w:link w:val="92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3">
    <w:name w:val="xl90"/>
    <w:basedOn w:val="920"/>
    <w:next w:val="973"/>
    <w:link w:val="92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4">
    <w:name w:val="xl91"/>
    <w:basedOn w:val="920"/>
    <w:next w:val="974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b/>
      <w:bCs/>
      <w:sz w:val="24"/>
      <w:szCs w:val="24"/>
      <w:lang w:eastAsia="ru-RU"/>
    </w:rPr>
  </w:style>
  <w:style w:type="paragraph" w:styleId="975">
    <w:name w:val="xl92"/>
    <w:basedOn w:val="920"/>
    <w:next w:val="975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6">
    <w:name w:val="xl93"/>
    <w:basedOn w:val="920"/>
    <w:next w:val="976"/>
    <w:link w:val="920"/>
    <w:pPr>
      <w:spacing w:before="100" w:beforeAutospacing="1" w:after="100" w:afterAutospacing="1" w:line="240" w:lineRule="auto"/>
      <w:shd w:val="clear" w:color="000000" w:fill="ddebf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paragraph" w:styleId="977">
    <w:name w:val="xl94"/>
    <w:basedOn w:val="920"/>
    <w:next w:val="977"/>
    <w:link w:val="920"/>
    <w:pPr>
      <w:jc w:val="center"/>
      <w:spacing w:before="100" w:beforeAutospacing="1" w:after="100" w:afterAutospacing="1" w:line="240" w:lineRule="auto"/>
      <w:shd w:val="clear" w:color="000000" w:fill="ddebf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4"/>
      <w:szCs w:val="24"/>
      <w:lang w:eastAsia="ru-RU"/>
    </w:rPr>
  </w:style>
  <w:style w:type="numbering" w:styleId="978">
    <w:name w:val="Нет списка1"/>
    <w:next w:val="926"/>
    <w:link w:val="920"/>
    <w:uiPriority w:val="99"/>
    <w:semiHidden/>
    <w:unhideWhenUsed/>
  </w:style>
  <w:style w:type="numbering" w:styleId="979">
    <w:name w:val="Нет списка11"/>
    <w:next w:val="926"/>
    <w:link w:val="920"/>
    <w:uiPriority w:val="99"/>
    <w:semiHidden/>
    <w:unhideWhenUsed/>
  </w:style>
  <w:style w:type="table" w:styleId="980">
    <w:name w:val="Сетка таблицы31"/>
    <w:basedOn w:val="925"/>
    <w:next w:val="948"/>
    <w:link w:val="920"/>
    <w:uiPriority w:val="39"/>
    <w:rPr>
      <w:sz w:val="22"/>
      <w:szCs w:val="22"/>
      <w:lang w:eastAsia="en-US"/>
    </w:rPr>
    <w:tblPr/>
  </w:style>
  <w:style w:type="table" w:styleId="981">
    <w:name w:val="Сетка таблицы1"/>
    <w:basedOn w:val="925"/>
    <w:next w:val="948"/>
    <w:link w:val="920"/>
    <w:uiPriority w:val="39"/>
    <w:tblPr/>
  </w:style>
  <w:style w:type="paragraph" w:styleId="982">
    <w:name w:val="xl95"/>
    <w:basedOn w:val="920"/>
    <w:next w:val="982"/>
    <w:link w:val="92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b/>
      <w:bCs/>
      <w:sz w:val="24"/>
      <w:szCs w:val="24"/>
      <w:lang w:eastAsia="ru-RU"/>
    </w:rPr>
  </w:style>
  <w:style w:type="paragraph" w:styleId="983">
    <w:name w:val="xl96"/>
    <w:basedOn w:val="920"/>
    <w:next w:val="983"/>
    <w:link w:val="920"/>
    <w:pPr>
      <w:spacing w:before="100" w:beforeAutospacing="1" w:after="100" w:afterAutospacing="1" w:line="240" w:lineRule="auto"/>
      <w:shd w:val="clear" w:color="000000" w:fill="ddebf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b/>
      <w:bCs/>
      <w:sz w:val="20"/>
      <w:szCs w:val="20"/>
      <w:lang w:eastAsia="ru-RU"/>
    </w:rPr>
  </w:style>
  <w:style w:type="paragraph" w:styleId="984">
    <w:name w:val="xl97"/>
    <w:basedOn w:val="920"/>
    <w:next w:val="984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Narrow" w:hAnsi="Arial Narrow" w:eastAsia="Times New Roman"/>
      <w:sz w:val="20"/>
      <w:szCs w:val="20"/>
      <w:lang w:eastAsia="ru-RU"/>
    </w:rPr>
  </w:style>
  <w:style w:type="paragraph" w:styleId="985">
    <w:name w:val="xl98"/>
    <w:basedOn w:val="920"/>
    <w:next w:val="985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bottom w:val="single" w:color="000000" w:sz="4" w:space="0"/>
      </w:pBdr>
    </w:pPr>
    <w:rPr>
      <w:rFonts w:ascii="Arial Narrow" w:hAnsi="Arial Narrow" w:eastAsia="Times New Roman"/>
      <w:sz w:val="20"/>
      <w:szCs w:val="20"/>
      <w:lang w:eastAsia="ru-RU"/>
    </w:rPr>
  </w:style>
  <w:style w:type="paragraph" w:styleId="986">
    <w:name w:val="xl99"/>
    <w:basedOn w:val="920"/>
    <w:next w:val="986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sz w:val="20"/>
      <w:szCs w:val="20"/>
      <w:lang w:eastAsia="ru-RU"/>
    </w:rPr>
  </w:style>
  <w:style w:type="paragraph" w:styleId="987">
    <w:name w:val="Рецензия"/>
    <w:next w:val="987"/>
    <w:link w:val="920"/>
    <w:hidden/>
    <w:uiPriority w:val="99"/>
    <w:semiHidden/>
    <w:rPr>
      <w:sz w:val="22"/>
      <w:szCs w:val="22"/>
      <w:lang w:val="ru-RU" w:eastAsia="en-US" w:bidi="ar-SA"/>
    </w:rPr>
  </w:style>
  <w:style w:type="paragraph" w:styleId="988">
    <w:name w:val="xl100"/>
    <w:basedOn w:val="920"/>
    <w:next w:val="988"/>
    <w:link w:val="92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89">
    <w:name w:val="xl101"/>
    <w:basedOn w:val="920"/>
    <w:next w:val="989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0">
    <w:name w:val="xl102"/>
    <w:basedOn w:val="920"/>
    <w:next w:val="990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1">
    <w:name w:val="xl103"/>
    <w:basedOn w:val="920"/>
    <w:next w:val="991"/>
    <w:link w:val="920"/>
    <w:pPr>
      <w:spacing w:before="100" w:beforeAutospacing="1" w:after="100" w:afterAutospacing="1" w:line="240" w:lineRule="auto"/>
      <w:shd w:val="clear" w:color="000000" w:fill="f2f2f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2">
    <w:name w:val="xl104"/>
    <w:basedOn w:val="920"/>
    <w:next w:val="992"/>
    <w:link w:val="920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3">
    <w:name w:val="s_3"/>
    <w:basedOn w:val="920"/>
    <w:next w:val="993"/>
    <w:link w:val="92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4">
    <w:name w:val="s_1"/>
    <w:basedOn w:val="920"/>
    <w:next w:val="994"/>
    <w:link w:val="92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5">
    <w:name w:val="indent_1"/>
    <w:basedOn w:val="920"/>
    <w:next w:val="995"/>
    <w:link w:val="92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6" w:default="1">
    <w:name w:val="Default Paragraph Font"/>
    <w:uiPriority w:val="1"/>
    <w:semiHidden/>
    <w:unhideWhenUsed/>
  </w:style>
  <w:style w:type="numbering" w:styleId="997" w:default="1">
    <w:name w:val="No List"/>
    <w:uiPriority w:val="99"/>
    <w:semiHidden/>
    <w:unhideWhenUsed/>
  </w:style>
  <w:style w:type="table" w:styleId="998" w:default="1">
    <w:name w:val="Normal Table"/>
    <w:uiPriority w:val="99"/>
    <w:semiHidden/>
    <w:unhideWhenUsed/>
    <w:tblPr/>
  </w:style>
  <w:style w:type="paragraph" w:styleId="9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 Бурыкин</dc:creator>
  <cp:lastModifiedBy>den</cp:lastModifiedBy>
  <cp:revision>25</cp:revision>
  <dcterms:created xsi:type="dcterms:W3CDTF">2023-07-10T03:47:00Z</dcterms:created>
  <dcterms:modified xsi:type="dcterms:W3CDTF">2025-10-15T06:38:10Z</dcterms:modified>
  <cp:version>1048576</cp:version>
</cp:coreProperties>
</file>