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0"/>
        <w:gridCol w:w="3102"/>
        <w:gridCol w:w="3606"/>
      </w:tblGrid>
      <w:tr w:rsidR="0090526B" w14:paraId="14D264D3" w14:textId="77777777">
        <w:trPr>
          <w:trHeight w:val="1525"/>
        </w:trPr>
        <w:tc>
          <w:tcPr>
            <w:tcW w:w="3450" w:type="dxa"/>
            <w:tcBorders>
              <w:top w:val="none" w:sz="4" w:space="0" w:color="000000"/>
              <w:left w:val="none" w:sz="4" w:space="0" w:color="000000"/>
              <w:bottom w:val="none" w:sz="4" w:space="0" w:color="000000"/>
              <w:right w:val="none" w:sz="4" w:space="0" w:color="000000"/>
            </w:tcBorders>
          </w:tcPr>
          <w:p w14:paraId="5443BC2C"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14:paraId="4596CCA9"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sz="4" w:space="0" w:color="000000"/>
              <w:left w:val="none" w:sz="4" w:space="0" w:color="000000"/>
              <w:bottom w:val="none" w:sz="4" w:space="0" w:color="000000"/>
              <w:right w:val="none" w:sz="4" w:space="0" w:color="000000"/>
            </w:tcBorders>
          </w:tcPr>
          <w:p w14:paraId="45363FB8" w14:textId="77777777" w:rsidR="0090526B" w:rsidRDefault="0010664E">
            <w:pPr>
              <w:tabs>
                <w:tab w:val="left" w:pos="1139"/>
              </w:tabs>
              <w:jc w:val="center"/>
              <w:rPr>
                <w:sz w:val="24"/>
              </w:rPr>
            </w:pPr>
            <w:r>
              <w:rPr>
                <w:noProof/>
              </w:rPr>
              <w:drawing>
                <wp:inline distT="0" distB="0" distL="0" distR="0" wp14:anchorId="2B95323F" wp14:editId="15B55569">
                  <wp:extent cx="792499" cy="867956"/>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792499" cy="867956"/>
                          </a:xfrm>
                          <a:prstGeom prst="rect">
                            <a:avLst/>
                          </a:prstGeom>
                          <a:noFill/>
                          <a:ln>
                            <a:noFill/>
                          </a:ln>
                        </pic:spPr>
                      </pic:pic>
                    </a:graphicData>
                  </a:graphic>
                </wp:inline>
              </w:drawing>
            </w:r>
          </w:p>
          <w:p w14:paraId="4D3744E5"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sz="4" w:space="0" w:color="000000"/>
              <w:left w:val="none" w:sz="4" w:space="0" w:color="000000"/>
              <w:bottom w:val="none" w:sz="4" w:space="0" w:color="000000"/>
              <w:right w:val="none" w:sz="4" w:space="0" w:color="000000"/>
            </w:tcBorders>
          </w:tcPr>
          <w:p w14:paraId="5C5AD0DE" w14:textId="77777777" w:rsidR="0090526B" w:rsidRDefault="0090526B">
            <w:pPr>
              <w:tabs>
                <w:tab w:val="left" w:pos="1139"/>
              </w:tabs>
              <w:jc w:val="right"/>
              <w:rPr>
                <w:sz w:val="24"/>
              </w:rPr>
            </w:pPr>
          </w:p>
          <w:p w14:paraId="230BC006" w14:textId="77777777" w:rsidR="0090526B" w:rsidRDefault="0090526B">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14:paraId="6672A06E" w14:textId="77777777" w:rsidR="0090526B" w:rsidRDefault="0010664E">
      <w:pPr>
        <w:shd w:val="clear" w:color="auto" w:fill="FFFFFF"/>
        <w:jc w:val="center"/>
        <w:rPr>
          <w:b/>
          <w:spacing w:val="-11"/>
          <w:sz w:val="33"/>
          <w:szCs w:val="33"/>
        </w:rPr>
      </w:pPr>
      <w:r>
        <w:rPr>
          <w:b/>
          <w:spacing w:val="-11"/>
          <w:sz w:val="33"/>
          <w:szCs w:val="33"/>
        </w:rPr>
        <w:t>ПРАВИТЕЛЬСТВО ЗАБАЙКАЛЬСКОГО КРАЯ</w:t>
      </w:r>
    </w:p>
    <w:p w14:paraId="56819B7D" w14:textId="77777777" w:rsidR="0090526B" w:rsidRDefault="0010664E">
      <w:pPr>
        <w:shd w:val="clear" w:color="auto" w:fill="FFFFFF"/>
        <w:spacing w:before="130"/>
        <w:ind w:left="19"/>
        <w:jc w:val="center"/>
        <w:outlineLvl w:val="0"/>
        <w:rPr>
          <w:bCs/>
          <w:spacing w:val="-14"/>
          <w:sz w:val="6"/>
          <w:szCs w:val="6"/>
        </w:rPr>
      </w:pPr>
      <w:r>
        <w:rPr>
          <w:bCs/>
          <w:spacing w:val="-14"/>
          <w:sz w:val="35"/>
          <w:szCs w:val="35"/>
        </w:rPr>
        <w:t>ПОСТАНОВЛЕНИЕ</w:t>
      </w:r>
    </w:p>
    <w:p w14:paraId="4536EA18" w14:textId="77777777" w:rsidR="0090526B" w:rsidRDefault="0090526B">
      <w:pPr>
        <w:shd w:val="clear" w:color="auto" w:fill="FFFFFF"/>
        <w:spacing w:before="130"/>
        <w:ind w:left="19"/>
        <w:jc w:val="center"/>
        <w:rPr>
          <w:bCs/>
          <w:spacing w:val="-14"/>
          <w:sz w:val="6"/>
          <w:szCs w:val="6"/>
        </w:rPr>
      </w:pPr>
    </w:p>
    <w:p w14:paraId="66BF72D5" w14:textId="77777777" w:rsidR="0090526B" w:rsidRDefault="0010664E">
      <w:pPr>
        <w:jc w:val="center"/>
        <w:rPr>
          <w:sz w:val="24"/>
        </w:rPr>
      </w:pPr>
      <w:r>
        <w:rPr>
          <w:bCs/>
          <w:spacing w:val="-6"/>
          <w:sz w:val="35"/>
          <w:szCs w:val="35"/>
        </w:rPr>
        <w:t>г. Чита</w:t>
      </w:r>
    </w:p>
    <w:p w14:paraId="59A54698" w14:textId="77777777" w:rsidR="0090526B" w:rsidRDefault="0090526B">
      <w:pPr>
        <w:jc w:val="center"/>
      </w:pPr>
    </w:p>
    <w:p w14:paraId="349220AB" w14:textId="77777777" w:rsidR="0090526B" w:rsidRDefault="0090526B">
      <w:pPr>
        <w:jc w:val="center"/>
      </w:pPr>
    </w:p>
    <w:p w14:paraId="64FC05BA" w14:textId="596C0D0B" w:rsidR="0090526B" w:rsidRDefault="0010664E">
      <w:pPr>
        <w:jc w:val="center"/>
        <w:rPr>
          <w:b/>
        </w:rPr>
      </w:pPr>
      <w:r>
        <w:rPr>
          <w:b/>
        </w:rPr>
        <w:t>О распределении дотаций, предоставляемых в 202</w:t>
      </w:r>
      <w:r w:rsidR="00233093">
        <w:rPr>
          <w:b/>
        </w:rPr>
        <w:t>5</w:t>
      </w:r>
      <w:r>
        <w:rPr>
          <w:b/>
        </w:rPr>
        <w:t xml:space="preserve"> году из бюджета Забайкальского края бюджетам муниципальных районов (муниципальных округов, городских округов) Забайкальского края </w:t>
      </w:r>
    </w:p>
    <w:p w14:paraId="3374A6F5" w14:textId="77777777" w:rsidR="0090526B" w:rsidRDefault="0010664E">
      <w:pPr>
        <w:jc w:val="center"/>
        <w:rPr>
          <w:b/>
        </w:rPr>
      </w:pPr>
      <w:r>
        <w:rPr>
          <w:b/>
        </w:rPr>
        <w:t>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14:paraId="1D35DE8C" w14:textId="77777777" w:rsidR="0090526B" w:rsidRDefault="0090526B">
      <w:pPr>
        <w:jc w:val="center"/>
        <w:rPr>
          <w:highlight w:val="yellow"/>
        </w:rPr>
      </w:pPr>
    </w:p>
    <w:p w14:paraId="36A756A9" w14:textId="77777777" w:rsidR="0090526B" w:rsidRDefault="0010664E">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В соответствии со статьей 138</w:t>
      </w:r>
      <w:r>
        <w:rPr>
          <w:rFonts w:ascii="Times New Roman" w:hAnsi="Times New Roman" w:cs="Times New Roman"/>
          <w:color w:val="000000"/>
          <w:sz w:val="28"/>
          <w:szCs w:val="28"/>
          <w:vertAlign w:val="superscript"/>
        </w:rPr>
        <w:t>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w:t>
      </w:r>
      <w:r>
        <w:rPr>
          <w:rFonts w:ascii="Times New Roman" w:hAnsi="Times New Roman" w:cs="Times New Roman"/>
          <w:color w:val="000000"/>
          <w:sz w:val="28"/>
          <w:szCs w:val="28"/>
        </w:rPr>
        <w:br w:type="textWrapping" w:clear="all"/>
        <w:t xml:space="preserve">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w:t>
      </w:r>
      <w:r>
        <w:rPr>
          <w:rFonts w:ascii="Times New Roman" w:hAnsi="Times New Roman" w:cs="Times New Roman"/>
          <w:color w:val="000000"/>
          <w:sz w:val="28"/>
          <w:szCs w:val="28"/>
        </w:rPr>
        <w:br w:type="textWrapping" w:clear="all"/>
        <w:t xml:space="preserve">№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Pr>
          <w:rFonts w:ascii="Times New Roman Полужирный" w:hAnsi="Times New Roman Полужирный" w:cs="Times New Roman"/>
          <w:b/>
          <w:spacing w:val="20"/>
          <w:sz w:val="28"/>
          <w:szCs w:val="28"/>
        </w:rPr>
        <w:t>постановляет</w:t>
      </w:r>
      <w:r>
        <w:rPr>
          <w:rFonts w:ascii="Times New Roman" w:hAnsi="Times New Roman" w:cs="Times New Roman"/>
          <w:spacing w:val="40"/>
          <w:sz w:val="28"/>
          <w:szCs w:val="28"/>
        </w:rPr>
        <w:t>:</w:t>
      </w:r>
    </w:p>
    <w:p w14:paraId="4CB454E8" w14:textId="77777777" w:rsidR="0090526B" w:rsidRDefault="0010664E">
      <w:pPr>
        <w:ind w:firstLine="708"/>
        <w:jc w:val="both"/>
      </w:pPr>
      <w:r>
        <w:tab/>
      </w:r>
    </w:p>
    <w:p w14:paraId="3D2A1502" w14:textId="762297D1" w:rsidR="0090526B" w:rsidRDefault="0010664E">
      <w:pPr>
        <w:ind w:firstLine="709"/>
        <w:jc w:val="both"/>
        <w:rPr>
          <w:bCs/>
        </w:rPr>
      </w:pPr>
      <w:r>
        <w:t>Распределить дотации, предоставляемые в 202</w:t>
      </w:r>
      <w:r w:rsidR="00233093">
        <w:t>5</w:t>
      </w:r>
      <w:r>
        <w:t xml:space="preserve">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 </w:t>
      </w:r>
      <w:r w:rsidR="00E474BB">
        <w:t>29</w:t>
      </w:r>
      <w:r w:rsidR="00192836">
        <w:t xml:space="preserve"> 183 506</w:t>
      </w:r>
      <w:r>
        <w:t xml:space="preserve"> (</w:t>
      </w:r>
      <w:r w:rsidR="00192836" w:rsidRPr="00192836">
        <w:t>двадцать девять миллионов сто восемьде</w:t>
      </w:r>
      <w:bookmarkStart w:id="0" w:name="_GoBack"/>
      <w:bookmarkEnd w:id="0"/>
      <w:r w:rsidR="00192836" w:rsidRPr="00192836">
        <w:t>сят три тысячи пятьсот шесть</w:t>
      </w:r>
      <w:r>
        <w:t>)</w:t>
      </w:r>
      <w:r w:rsidR="00192836">
        <w:t xml:space="preserve"> </w:t>
      </w:r>
      <w:r w:rsidR="00233093">
        <w:t>рублей</w:t>
      </w:r>
      <w:r>
        <w:t>,</w:t>
      </w:r>
      <w:r w:rsidR="00192836">
        <w:rPr>
          <w:bCs/>
        </w:rPr>
        <w:t xml:space="preserve"> </w:t>
      </w:r>
      <w:r>
        <w:rPr>
          <w:bCs/>
        </w:rPr>
        <w:t xml:space="preserve">бюджету </w:t>
      </w:r>
      <w:r w:rsidR="00DA7B6F">
        <w:rPr>
          <w:bCs/>
        </w:rPr>
        <w:t>Петровск-Забайкальского муниципального округа</w:t>
      </w:r>
      <w:r>
        <w:rPr>
          <w:bCs/>
        </w:rPr>
        <w:t xml:space="preserve"> Забайкальского края.</w:t>
      </w:r>
    </w:p>
    <w:p w14:paraId="1274C792" w14:textId="77777777" w:rsidR="0090526B" w:rsidRDefault="0090526B">
      <w:pPr>
        <w:ind w:firstLine="709"/>
        <w:jc w:val="both"/>
        <w:rPr>
          <w:bCs/>
        </w:rPr>
      </w:pPr>
    </w:p>
    <w:p w14:paraId="50193E14" w14:textId="77777777" w:rsidR="00DD56A6" w:rsidRDefault="00DD56A6" w:rsidP="00DD56A6">
      <w:r>
        <w:t xml:space="preserve">Исполняющий обязанности </w:t>
      </w:r>
    </w:p>
    <w:p w14:paraId="736F54B0" w14:textId="77777777" w:rsidR="00DD56A6" w:rsidRDefault="00DD56A6" w:rsidP="00DD56A6">
      <w:r>
        <w:t>первого заместителя</w:t>
      </w:r>
    </w:p>
    <w:p w14:paraId="1110D276" w14:textId="77777777" w:rsidR="00DD56A6" w:rsidRDefault="00DD56A6" w:rsidP="00DD56A6">
      <w:r>
        <w:t xml:space="preserve">председателя Правительства </w:t>
      </w:r>
    </w:p>
    <w:p w14:paraId="00969315" w14:textId="7E94B7D3" w:rsidR="0090526B" w:rsidRDefault="00DD56A6" w:rsidP="00DD56A6">
      <w:r>
        <w:t>Забайкальского края</w:t>
      </w:r>
      <w:r w:rsidR="0010664E">
        <w:tab/>
      </w:r>
      <w:r w:rsidR="0010664E">
        <w:tab/>
      </w:r>
      <w:r w:rsidR="0010664E">
        <w:tab/>
      </w:r>
      <w:r w:rsidR="0010664E">
        <w:tab/>
      </w:r>
      <w:r w:rsidR="0010664E">
        <w:tab/>
        <w:t xml:space="preserve">                      </w:t>
      </w:r>
      <w:r w:rsidR="0055485C">
        <w:t xml:space="preserve">Б.Б. </w:t>
      </w:r>
      <w:proofErr w:type="spellStart"/>
      <w:r w:rsidR="0055485C">
        <w:t>Батомункуев</w:t>
      </w:r>
      <w:proofErr w:type="spellEnd"/>
    </w:p>
    <w:sectPr w:rsidR="0090526B" w:rsidSect="00192836">
      <w:headerReference w:type="default" r:id="rId8"/>
      <w:headerReference w:type="first" r:id="rId9"/>
      <w:pgSz w:w="11906" w:h="16838"/>
      <w:pgMar w:top="568" w:right="567" w:bottom="993"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8B665" w14:textId="77777777" w:rsidR="0090526B" w:rsidRDefault="0010664E">
      <w:r>
        <w:separator/>
      </w:r>
    </w:p>
  </w:endnote>
  <w:endnote w:type="continuationSeparator" w:id="0">
    <w:p w14:paraId="08817034" w14:textId="77777777" w:rsidR="0090526B" w:rsidRDefault="0010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A56CD" w14:textId="77777777" w:rsidR="0090526B" w:rsidRDefault="0010664E">
      <w:r>
        <w:separator/>
      </w:r>
    </w:p>
  </w:footnote>
  <w:footnote w:type="continuationSeparator" w:id="0">
    <w:p w14:paraId="2FD55CBB" w14:textId="77777777" w:rsidR="0090526B" w:rsidRDefault="00106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F0ED1" w14:textId="77777777" w:rsidR="0090526B" w:rsidRDefault="0010664E">
    <w:pPr>
      <w:pStyle w:val="ab"/>
      <w:jc w:val="center"/>
    </w:pPr>
    <w:r>
      <w:fldChar w:fldCharType="begin"/>
    </w:r>
    <w:r>
      <w:instrText>PAGE   \* MERGEFORMAT</w:instrText>
    </w:r>
    <w:r>
      <w:fldChar w:fldCharType="separate"/>
    </w:r>
    <w:r>
      <w:rPr>
        <w:lang w:val="ru-RU"/>
      </w:rPr>
      <w:t>2</w:t>
    </w:r>
    <w:r>
      <w:fldChar w:fldCharType="end"/>
    </w:r>
  </w:p>
  <w:p w14:paraId="6A4855FE" w14:textId="77777777" w:rsidR="0090526B" w:rsidRDefault="0090526B">
    <w:pPr>
      <w:pStyle w:val="ab"/>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D923E" w14:textId="77777777" w:rsidR="0090526B" w:rsidRDefault="0090526B">
    <w:pPr>
      <w:pStyle w:val="ab"/>
      <w:jc w:val="center"/>
    </w:pPr>
  </w:p>
  <w:p w14:paraId="3C003B40" w14:textId="77777777" w:rsidR="0090526B" w:rsidRDefault="0090526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7F6C0D"/>
    <w:multiLevelType w:val="hybridMultilevel"/>
    <w:tmpl w:val="FB046212"/>
    <w:lvl w:ilvl="0" w:tplc="BF6E8974">
      <w:start w:val="1"/>
      <w:numFmt w:val="decimal"/>
      <w:lvlText w:val="%1."/>
      <w:lvlJc w:val="left"/>
      <w:pPr>
        <w:tabs>
          <w:tab w:val="num" w:pos="502"/>
        </w:tabs>
        <w:ind w:left="502" w:hanging="360"/>
      </w:pPr>
      <w:rPr>
        <w:rFonts w:cs="Times New Roman"/>
        <w:color w:val="000000"/>
        <w:sz w:val="24"/>
        <w:szCs w:val="24"/>
      </w:rPr>
    </w:lvl>
    <w:lvl w:ilvl="1" w:tplc="D23A8F60">
      <w:start w:val="1"/>
      <w:numFmt w:val="decimal"/>
      <w:lvlText w:val="%2."/>
      <w:lvlJc w:val="left"/>
      <w:pPr>
        <w:tabs>
          <w:tab w:val="num" w:pos="1440"/>
        </w:tabs>
        <w:ind w:left="1440" w:hanging="360"/>
      </w:pPr>
      <w:rPr>
        <w:rFonts w:cs="Times New Roman"/>
      </w:rPr>
    </w:lvl>
    <w:lvl w:ilvl="2" w:tplc="C0E48082">
      <w:start w:val="1"/>
      <w:numFmt w:val="decimal"/>
      <w:lvlText w:val="%3."/>
      <w:lvlJc w:val="left"/>
      <w:pPr>
        <w:tabs>
          <w:tab w:val="num" w:pos="2160"/>
        </w:tabs>
        <w:ind w:left="2160" w:hanging="360"/>
      </w:pPr>
      <w:rPr>
        <w:rFonts w:cs="Times New Roman"/>
      </w:rPr>
    </w:lvl>
    <w:lvl w:ilvl="3" w:tplc="94C84CD0">
      <w:start w:val="1"/>
      <w:numFmt w:val="decimal"/>
      <w:lvlText w:val="%4."/>
      <w:lvlJc w:val="left"/>
      <w:pPr>
        <w:tabs>
          <w:tab w:val="num" w:pos="2880"/>
        </w:tabs>
        <w:ind w:left="2880" w:hanging="360"/>
      </w:pPr>
      <w:rPr>
        <w:rFonts w:cs="Times New Roman"/>
      </w:rPr>
    </w:lvl>
    <w:lvl w:ilvl="4" w:tplc="1DA0F084">
      <w:start w:val="1"/>
      <w:numFmt w:val="decimal"/>
      <w:lvlText w:val="%5."/>
      <w:lvlJc w:val="left"/>
      <w:pPr>
        <w:tabs>
          <w:tab w:val="num" w:pos="3600"/>
        </w:tabs>
        <w:ind w:left="3600" w:hanging="360"/>
      </w:pPr>
      <w:rPr>
        <w:rFonts w:cs="Times New Roman"/>
      </w:rPr>
    </w:lvl>
    <w:lvl w:ilvl="5" w:tplc="B9D60124">
      <w:start w:val="1"/>
      <w:numFmt w:val="decimal"/>
      <w:lvlText w:val="%6."/>
      <w:lvlJc w:val="left"/>
      <w:pPr>
        <w:tabs>
          <w:tab w:val="num" w:pos="4320"/>
        </w:tabs>
        <w:ind w:left="4320" w:hanging="360"/>
      </w:pPr>
      <w:rPr>
        <w:rFonts w:cs="Times New Roman"/>
      </w:rPr>
    </w:lvl>
    <w:lvl w:ilvl="6" w:tplc="153E57A8">
      <w:start w:val="1"/>
      <w:numFmt w:val="decimal"/>
      <w:lvlText w:val="%7."/>
      <w:lvlJc w:val="left"/>
      <w:pPr>
        <w:tabs>
          <w:tab w:val="num" w:pos="5040"/>
        </w:tabs>
        <w:ind w:left="5040" w:hanging="360"/>
      </w:pPr>
      <w:rPr>
        <w:rFonts w:cs="Times New Roman"/>
      </w:rPr>
    </w:lvl>
    <w:lvl w:ilvl="7" w:tplc="50342A26">
      <w:start w:val="1"/>
      <w:numFmt w:val="decimal"/>
      <w:lvlText w:val="%8."/>
      <w:lvlJc w:val="left"/>
      <w:pPr>
        <w:tabs>
          <w:tab w:val="num" w:pos="5760"/>
        </w:tabs>
        <w:ind w:left="5760" w:hanging="360"/>
      </w:pPr>
      <w:rPr>
        <w:rFonts w:cs="Times New Roman"/>
      </w:rPr>
    </w:lvl>
    <w:lvl w:ilvl="8" w:tplc="6F3A6CE0">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26B"/>
    <w:rsid w:val="0010664E"/>
    <w:rsid w:val="00192836"/>
    <w:rsid w:val="00233093"/>
    <w:rsid w:val="002864EE"/>
    <w:rsid w:val="0055485C"/>
    <w:rsid w:val="0090526B"/>
    <w:rsid w:val="00DA7B6F"/>
    <w:rsid w:val="00DD56A6"/>
    <w:rsid w:val="00E47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526F6"/>
  <w15:docId w15:val="{98AA6596-815C-4167-9E09-168E7B85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s="Times New Roman"/>
      <w:color w:val="000000"/>
      <w:sz w:val="28"/>
      <w:szCs w:val="28"/>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59"/>
    <w:rPr>
      <w:rFonts w:ascii="Times New Roman" w:hAnsi="Times New Roman" w:cs="Times New Roman"/>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customStyle="1" w:styleId="afb">
    <w:name w:val="Текст выноски Знак"/>
    <w:link w:val="afa"/>
    <w:uiPriority w:val="99"/>
    <w:semiHidden/>
    <w:rPr>
      <w:rFonts w:ascii="Tahoma" w:hAnsi="Tahoma" w:cs="Tahoma"/>
      <w:color w:val="000000"/>
      <w:sz w:val="16"/>
      <w:szCs w:val="16"/>
      <w:lang w:val="en-US" w:eastAsia="ru-RU"/>
    </w:rPr>
  </w:style>
  <w:style w:type="character" w:customStyle="1" w:styleId="ac">
    <w:name w:val="Верхний колонтитул Знак"/>
    <w:link w:val="ab"/>
    <w:uiPriority w:val="99"/>
    <w:rPr>
      <w:rFonts w:ascii="Times New Roman" w:hAnsi="Times New Roman" w:cs="Times New Roman"/>
      <w:color w:val="000000"/>
      <w:sz w:val="28"/>
      <w:szCs w:val="28"/>
      <w:lang w:val="en-US" w:eastAsia="ru-RU"/>
    </w:rPr>
  </w:style>
  <w:style w:type="character" w:customStyle="1" w:styleId="ae">
    <w:name w:val="Нижний колонтитул Знак"/>
    <w:link w:val="ad"/>
    <w:uiPriority w:val="99"/>
    <w:rPr>
      <w:rFonts w:ascii="Times New Roman" w:hAnsi="Times New Roman" w:cs="Times New Roman"/>
      <w:color w:val="000000"/>
      <w:sz w:val="28"/>
      <w:szCs w:val="28"/>
      <w:lang w:val="en-US" w:eastAsia="ru-RU"/>
    </w:rPr>
  </w:style>
  <w:style w:type="paragraph" w:customStyle="1" w:styleId="ConsPlusNormal">
    <w:name w:val="ConsPlusNormal"/>
    <w:pPr>
      <w:widowControl w:val="0"/>
      <w:ind w:firstLine="720"/>
    </w:pPr>
    <w:rPr>
      <w:rFonts w:ascii="Arial" w:hAnsi="Arial" w:cs="Arial"/>
      <w:lang w:eastAsia="ru-RU"/>
    </w:rPr>
  </w:style>
  <w:style w:type="paragraph" w:styleId="afc">
    <w:name w:val="Document Map"/>
    <w:basedOn w:val="a"/>
    <w:link w:val="afd"/>
    <w:uiPriority w:val="99"/>
    <w:semiHidden/>
    <w:unhideWhenUsed/>
    <w:rPr>
      <w:rFonts w:ascii="Tahoma" w:hAnsi="Tahoma"/>
      <w:sz w:val="16"/>
      <w:szCs w:val="16"/>
      <w:lang w:val="en-US" w:eastAsia="en-US"/>
    </w:rPr>
  </w:style>
  <w:style w:type="character" w:customStyle="1" w:styleId="afd">
    <w:name w:val="Схема документа Знак"/>
    <w:link w:val="afc"/>
    <w:uiPriority w:val="99"/>
    <w:semiHidden/>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262</Words>
  <Characters>1500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KOMPOFIN</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Крюкова Кристина Романовна</cp:lastModifiedBy>
  <cp:revision>84</cp:revision>
  <dcterms:created xsi:type="dcterms:W3CDTF">2022-08-10T00:12:00Z</dcterms:created>
  <dcterms:modified xsi:type="dcterms:W3CDTF">2025-11-01T07:02:00Z</dcterms:modified>
  <cp:version>1048576</cp:version>
</cp:coreProperties>
</file>