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58354" w14:textId="77777777" w:rsidR="004225F4" w:rsidRDefault="0080485B">
      <w:pPr>
        <w:shd w:val="clear" w:color="auto" w:fill="FFFFFF"/>
        <w:jc w:val="center"/>
        <w:rPr>
          <w:sz w:val="2"/>
          <w:szCs w:val="2"/>
        </w:rPr>
      </w:pPr>
      <w:r>
        <w:rPr>
          <w:noProof/>
        </w:rPr>
        <w:drawing>
          <wp:inline distT="0" distB="0" distL="0" distR="0" wp14:anchorId="6FB71550" wp14:editId="5DB99798">
            <wp:extent cx="800009" cy="885977"/>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pic:blipFill>
                  <pic:spPr bwMode="auto">
                    <a:xfrm>
                      <a:off x="0" y="0"/>
                      <a:ext cx="800009" cy="885977"/>
                    </a:xfrm>
                    <a:prstGeom prst="rect">
                      <a:avLst/>
                    </a:prstGeom>
                    <a:noFill/>
                    <a:ln>
                      <a:noFill/>
                    </a:ln>
                  </pic:spPr>
                </pic:pic>
              </a:graphicData>
            </a:graphic>
          </wp:inline>
        </w:drawing>
      </w:r>
    </w:p>
    <w:p w14:paraId="590C1C8A" w14:textId="77777777" w:rsidR="004225F4" w:rsidRDefault="004225F4">
      <w:pPr>
        <w:shd w:val="clear" w:color="auto" w:fill="FFFFFF"/>
        <w:jc w:val="center"/>
        <w:rPr>
          <w:sz w:val="2"/>
          <w:szCs w:val="2"/>
        </w:rPr>
      </w:pPr>
    </w:p>
    <w:p w14:paraId="40AFC342" w14:textId="77777777" w:rsidR="004225F4" w:rsidRDefault="004225F4">
      <w:pPr>
        <w:shd w:val="clear" w:color="auto" w:fill="FFFFFF"/>
        <w:jc w:val="center"/>
        <w:rPr>
          <w:sz w:val="2"/>
          <w:szCs w:val="2"/>
        </w:rPr>
      </w:pPr>
    </w:p>
    <w:p w14:paraId="31E28EBF" w14:textId="77777777" w:rsidR="004225F4" w:rsidRDefault="004225F4">
      <w:pPr>
        <w:shd w:val="clear" w:color="auto" w:fill="FFFFFF"/>
        <w:jc w:val="center"/>
        <w:rPr>
          <w:sz w:val="2"/>
          <w:szCs w:val="2"/>
        </w:rPr>
      </w:pPr>
    </w:p>
    <w:p w14:paraId="5B8B1212" w14:textId="77777777" w:rsidR="004225F4" w:rsidRDefault="004225F4">
      <w:pPr>
        <w:shd w:val="clear" w:color="auto" w:fill="FFFFFF"/>
        <w:jc w:val="center"/>
        <w:rPr>
          <w:sz w:val="2"/>
          <w:szCs w:val="2"/>
        </w:rPr>
      </w:pPr>
    </w:p>
    <w:p w14:paraId="014130D5" w14:textId="77777777" w:rsidR="004225F4" w:rsidRDefault="004225F4">
      <w:pPr>
        <w:shd w:val="clear" w:color="auto" w:fill="FFFFFF"/>
        <w:jc w:val="center"/>
        <w:rPr>
          <w:sz w:val="2"/>
          <w:szCs w:val="2"/>
        </w:rPr>
      </w:pPr>
    </w:p>
    <w:p w14:paraId="3CFB0B42" w14:textId="77777777" w:rsidR="004225F4" w:rsidRDefault="004225F4">
      <w:pPr>
        <w:shd w:val="clear" w:color="auto" w:fill="FFFFFF"/>
        <w:jc w:val="center"/>
        <w:rPr>
          <w:sz w:val="2"/>
          <w:szCs w:val="2"/>
        </w:rPr>
      </w:pPr>
    </w:p>
    <w:p w14:paraId="05EBBF71" w14:textId="77777777" w:rsidR="004225F4" w:rsidRDefault="004225F4">
      <w:pPr>
        <w:shd w:val="clear" w:color="auto" w:fill="FFFFFF"/>
        <w:jc w:val="center"/>
        <w:rPr>
          <w:sz w:val="2"/>
          <w:szCs w:val="2"/>
        </w:rPr>
      </w:pPr>
    </w:p>
    <w:p w14:paraId="401C1689" w14:textId="77777777" w:rsidR="004225F4" w:rsidRDefault="004225F4">
      <w:pPr>
        <w:shd w:val="clear" w:color="auto" w:fill="FFFFFF"/>
        <w:jc w:val="center"/>
        <w:rPr>
          <w:sz w:val="2"/>
          <w:szCs w:val="2"/>
        </w:rPr>
      </w:pPr>
    </w:p>
    <w:p w14:paraId="1099605C" w14:textId="77777777" w:rsidR="004225F4" w:rsidRDefault="004225F4">
      <w:pPr>
        <w:shd w:val="clear" w:color="auto" w:fill="FFFFFF"/>
        <w:jc w:val="center"/>
        <w:rPr>
          <w:b/>
          <w:spacing w:val="-11"/>
          <w:sz w:val="2"/>
          <w:szCs w:val="2"/>
        </w:rPr>
      </w:pPr>
    </w:p>
    <w:p w14:paraId="6712740C" w14:textId="77777777" w:rsidR="004225F4" w:rsidRDefault="0080485B">
      <w:pPr>
        <w:shd w:val="clear" w:color="auto" w:fill="FFFFFF"/>
        <w:jc w:val="center"/>
        <w:outlineLvl w:val="0"/>
        <w:rPr>
          <w:b/>
          <w:spacing w:val="-11"/>
          <w:sz w:val="2"/>
          <w:szCs w:val="2"/>
        </w:rPr>
      </w:pPr>
      <w:r>
        <w:rPr>
          <w:b/>
          <w:spacing w:val="-11"/>
          <w:sz w:val="33"/>
          <w:szCs w:val="33"/>
        </w:rPr>
        <w:t>ПРАВИТЕЛЬСТВО ЗАБАЙКАЛЬСКОГО КРАЯ</w:t>
      </w:r>
    </w:p>
    <w:p w14:paraId="49FAED44" w14:textId="77777777" w:rsidR="004225F4" w:rsidRDefault="004225F4">
      <w:pPr>
        <w:shd w:val="clear" w:color="auto" w:fill="FFFFFF"/>
        <w:jc w:val="center"/>
        <w:rPr>
          <w:b/>
          <w:spacing w:val="-11"/>
          <w:sz w:val="2"/>
          <w:szCs w:val="2"/>
        </w:rPr>
      </w:pPr>
    </w:p>
    <w:p w14:paraId="3A6D1BAD" w14:textId="77777777" w:rsidR="004225F4" w:rsidRDefault="004225F4">
      <w:pPr>
        <w:shd w:val="clear" w:color="auto" w:fill="FFFFFF"/>
        <w:jc w:val="center"/>
        <w:rPr>
          <w:b/>
          <w:spacing w:val="-11"/>
          <w:sz w:val="2"/>
          <w:szCs w:val="2"/>
        </w:rPr>
      </w:pPr>
    </w:p>
    <w:p w14:paraId="06CB8AC0" w14:textId="77777777" w:rsidR="004225F4" w:rsidRDefault="004225F4">
      <w:pPr>
        <w:shd w:val="clear" w:color="auto" w:fill="FFFFFF"/>
        <w:jc w:val="center"/>
        <w:rPr>
          <w:b/>
          <w:spacing w:val="-11"/>
          <w:sz w:val="2"/>
          <w:szCs w:val="2"/>
        </w:rPr>
      </w:pPr>
    </w:p>
    <w:p w14:paraId="4996A57E" w14:textId="77777777" w:rsidR="004225F4" w:rsidRDefault="004225F4">
      <w:pPr>
        <w:shd w:val="clear" w:color="auto" w:fill="FFFFFF"/>
        <w:jc w:val="center"/>
        <w:rPr>
          <w:b/>
          <w:spacing w:val="-11"/>
          <w:sz w:val="2"/>
          <w:szCs w:val="2"/>
        </w:rPr>
      </w:pPr>
    </w:p>
    <w:p w14:paraId="3357A007" w14:textId="77777777" w:rsidR="004225F4" w:rsidRDefault="0080485B">
      <w:pPr>
        <w:shd w:val="clear" w:color="auto" w:fill="FFFFFF"/>
        <w:jc w:val="center"/>
        <w:outlineLvl w:val="0"/>
        <w:rPr>
          <w:bCs/>
          <w:spacing w:val="-14"/>
        </w:rPr>
      </w:pPr>
      <w:r>
        <w:rPr>
          <w:bCs/>
          <w:spacing w:val="-14"/>
          <w:sz w:val="35"/>
          <w:szCs w:val="35"/>
        </w:rPr>
        <w:t>ПОСТАНОВЛЕНИЕ</w:t>
      </w:r>
    </w:p>
    <w:p w14:paraId="43A2EA6F" w14:textId="77777777" w:rsidR="004225F4" w:rsidRDefault="004225F4">
      <w:pPr>
        <w:shd w:val="clear" w:color="auto" w:fill="FFFFFF"/>
        <w:jc w:val="center"/>
        <w:rPr>
          <w:bCs/>
        </w:rPr>
      </w:pPr>
    </w:p>
    <w:p w14:paraId="5C087F83" w14:textId="77777777" w:rsidR="004225F4" w:rsidRDefault="0080485B">
      <w:pPr>
        <w:shd w:val="clear" w:color="auto" w:fill="FFFFFF"/>
        <w:jc w:val="center"/>
        <w:rPr>
          <w:bCs/>
          <w:spacing w:val="-14"/>
          <w:sz w:val="6"/>
          <w:szCs w:val="6"/>
        </w:rPr>
      </w:pPr>
      <w:r>
        <w:rPr>
          <w:bCs/>
          <w:spacing w:val="-6"/>
          <w:sz w:val="35"/>
          <w:szCs w:val="35"/>
        </w:rPr>
        <w:t>г. Чита</w:t>
      </w:r>
    </w:p>
    <w:p w14:paraId="4D10A09A" w14:textId="77777777" w:rsidR="004225F4" w:rsidRDefault="004225F4">
      <w:pPr>
        <w:jc w:val="center"/>
        <w:rPr>
          <w:sz w:val="27"/>
          <w:szCs w:val="27"/>
        </w:rPr>
      </w:pPr>
    </w:p>
    <w:p w14:paraId="11EE0FE3" w14:textId="77777777" w:rsidR="004225F4" w:rsidRDefault="0080485B">
      <w:pPr>
        <w:jc w:val="center"/>
        <w:rPr>
          <w:b/>
          <w:highlight w:val="yellow"/>
        </w:rPr>
      </w:pPr>
      <w:r>
        <w:rPr>
          <w:b/>
        </w:rPr>
        <w:t xml:space="preserve">О распределении дотаций, предоставляемых в 2025 году из бюджета Забайкальского края бюджетам муниципальных районов, муниципальных округов, городских округов Забайкальского края на обеспечение расходных обязательств по оплате труда работников учреждений бюджетной сферы, финансируемых за счет средств бюджетов муниципальных районов, муниципальных округов, городских округов Забайкальского края </w:t>
      </w:r>
    </w:p>
    <w:p w14:paraId="74E42611" w14:textId="77777777" w:rsidR="004225F4" w:rsidRDefault="004225F4">
      <w:pPr>
        <w:jc w:val="center"/>
        <w:rPr>
          <w:b/>
          <w:sz w:val="27"/>
          <w:szCs w:val="27"/>
          <w:highlight w:val="yellow"/>
        </w:rPr>
      </w:pPr>
    </w:p>
    <w:p w14:paraId="6F9559A0" w14:textId="77777777" w:rsidR="004225F4" w:rsidRDefault="0080485B">
      <w:pPr>
        <w:ind w:firstLine="720"/>
        <w:jc w:val="both"/>
        <w:rPr>
          <w:spacing w:val="40"/>
        </w:rPr>
      </w:pPr>
      <w:r>
        <w:t>В соответствии со статьей 138</w:t>
      </w:r>
      <w:r>
        <w:rPr>
          <w:vertAlign w:val="superscript"/>
        </w:rPr>
        <w:t>4</w:t>
      </w:r>
      <w:r>
        <w:t xml:space="preserve"> Бюджетного кодекса Российской Федерации, статьей 11</w:t>
      </w:r>
      <w:r>
        <w:rPr>
          <w:vertAlign w:val="superscript"/>
        </w:rPr>
        <w:t>1</w:t>
      </w:r>
      <w:r>
        <w:t xml:space="preserve"> Закона Забайкальского края от 20 декабря 2011 года </w:t>
      </w:r>
      <w:r>
        <w:br w:type="textWrapping" w:clear="all"/>
        <w:t>№ 608-ЗЗК «О межбюджетных отношениях в Забайкальском крае»</w:t>
      </w:r>
      <w:r>
        <w:rPr>
          <w:bCs/>
          <w:sz w:val="27"/>
          <w:szCs w:val="27"/>
        </w:rPr>
        <w:t>,</w:t>
      </w:r>
      <w:r>
        <w:t xml:space="preserve"> пунктом 10 Правил предоставления в 2025 году бюджетам муниципальных районов, муниципальных округов, городских округов Забайкальского края дотаций на обеспечение расходных обязательств по оплате труда работников учреждений бюджетной сферы, финансируемых за счет средств</w:t>
      </w:r>
      <w:r>
        <w:rPr>
          <w:b/>
        </w:rPr>
        <w:t xml:space="preserve"> </w:t>
      </w:r>
      <w:r>
        <w:t>бюджетов муниципальных районов, муниципальных округов, городских округов Забайкальского края из бюджета Забайкальского края, утвержденных постановлением Правительства Забайкальского края от 23 июля 2025 года  № 391, в целях обеспечения выплаты заработной платы работникам учреждений бюджетной сферы, финансируемых за счет средств бюджетов муниципальных районов, муниципальных округов, городских округов Забайкальского края,</w:t>
      </w:r>
      <w:r>
        <w:rPr>
          <w:b/>
        </w:rPr>
        <w:t xml:space="preserve"> </w:t>
      </w:r>
      <w:r>
        <w:rPr>
          <w:bCs/>
        </w:rPr>
        <w:t xml:space="preserve">Правительство Забайкальского края </w:t>
      </w:r>
      <w:r>
        <w:rPr>
          <w:b/>
          <w:spacing w:val="20"/>
        </w:rPr>
        <w:t>постановляет</w:t>
      </w:r>
      <w:r>
        <w:rPr>
          <w:spacing w:val="40"/>
        </w:rPr>
        <w:t>:</w:t>
      </w:r>
    </w:p>
    <w:p w14:paraId="4F9C4E47" w14:textId="77777777" w:rsidR="004225F4" w:rsidRDefault="004225F4">
      <w:pPr>
        <w:ind w:firstLine="720"/>
        <w:jc w:val="both"/>
        <w:rPr>
          <w:spacing w:val="40"/>
          <w:sz w:val="18"/>
          <w:highlight w:val="yellow"/>
        </w:rPr>
      </w:pPr>
    </w:p>
    <w:p w14:paraId="3A73DD13" w14:textId="1595DE16" w:rsidR="004225F4" w:rsidRDefault="0080485B">
      <w:pPr>
        <w:ind w:firstLine="709"/>
        <w:jc w:val="both"/>
      </w:pPr>
      <w:r>
        <w:t>Распределить дотации, предоставляемые в 2025 году из бюджета Забайкальского края бюджетам муниципальных районов, муниципальных округов, городских округов Забайкальского края на обеспечение расходных обязательств по оплате труда работников учреждений бюджетной сферы, финансируемых за счет средств</w:t>
      </w:r>
      <w:r>
        <w:rPr>
          <w:b/>
        </w:rPr>
        <w:t xml:space="preserve"> </w:t>
      </w:r>
      <w:r>
        <w:t>бюджетов муниципальных районов, муниципальных округов, городских округов Забайкальского края, в сумме 66</w:t>
      </w:r>
      <w:r w:rsidR="009570E8">
        <w:t>3</w:t>
      </w:r>
      <w:r>
        <w:t> </w:t>
      </w:r>
      <w:r w:rsidR="009570E8">
        <w:t>176</w:t>
      </w:r>
      <w:r>
        <w:t> </w:t>
      </w:r>
      <w:r w:rsidR="009570E8">
        <w:t>9</w:t>
      </w:r>
      <w:r>
        <w:t xml:space="preserve">00 (шестьсот шестьдесят </w:t>
      </w:r>
      <w:r w:rsidR="009570E8">
        <w:t>три</w:t>
      </w:r>
      <w:r>
        <w:t xml:space="preserve"> миллион</w:t>
      </w:r>
      <w:r w:rsidR="009570E8">
        <w:t>а</w:t>
      </w:r>
      <w:r>
        <w:t xml:space="preserve"> </w:t>
      </w:r>
      <w:r w:rsidR="009570E8">
        <w:t>сто семьдесят шесть тысяч девятьсот</w:t>
      </w:r>
      <w:bookmarkStart w:id="0" w:name="_GoBack"/>
      <w:bookmarkEnd w:id="0"/>
      <w:r>
        <w:t>) рублей, согласно приложению к настоящему постановлению.</w:t>
      </w:r>
    </w:p>
    <w:p w14:paraId="09F4EF3B" w14:textId="77777777" w:rsidR="004225F4" w:rsidRDefault="004225F4">
      <w:pPr>
        <w:rPr>
          <w:sz w:val="18"/>
        </w:rPr>
      </w:pPr>
    </w:p>
    <w:p w14:paraId="148A6F4C" w14:textId="77777777" w:rsidR="004225F4" w:rsidRDefault="0080485B">
      <w:r>
        <w:t xml:space="preserve">Исполняющий обязанности </w:t>
      </w:r>
    </w:p>
    <w:p w14:paraId="1DDC6751" w14:textId="77777777" w:rsidR="004225F4" w:rsidRDefault="0080485B">
      <w:r>
        <w:t>первого заместителя</w:t>
      </w:r>
    </w:p>
    <w:p w14:paraId="2B744473" w14:textId="77777777" w:rsidR="004225F4" w:rsidRDefault="0080485B">
      <w:r>
        <w:t xml:space="preserve">председателя Правительства </w:t>
      </w:r>
    </w:p>
    <w:p w14:paraId="2672C832" w14:textId="77777777" w:rsidR="004225F4" w:rsidRDefault="0080485B">
      <w:r>
        <w:t>Забайкальского края</w:t>
      </w:r>
      <w:r>
        <w:tab/>
      </w:r>
      <w:r>
        <w:tab/>
      </w:r>
      <w:r>
        <w:tab/>
      </w:r>
      <w:r>
        <w:tab/>
      </w:r>
      <w:r>
        <w:tab/>
        <w:t xml:space="preserve">                           Б.Б. Батомункуев</w:t>
      </w:r>
    </w:p>
    <w:p w14:paraId="1C76E688" w14:textId="77777777" w:rsidR="004225F4" w:rsidRDefault="004225F4">
      <w:pPr>
        <w:spacing w:line="360" w:lineRule="auto"/>
        <w:ind w:left="5245"/>
        <w:jc w:val="center"/>
        <w:outlineLvl w:val="0"/>
      </w:pPr>
    </w:p>
    <w:p w14:paraId="1876A402" w14:textId="77777777" w:rsidR="004225F4" w:rsidRDefault="0080485B">
      <w:pPr>
        <w:spacing w:line="360" w:lineRule="auto"/>
        <w:ind w:left="5245"/>
        <w:jc w:val="center"/>
        <w:outlineLvl w:val="0"/>
      </w:pPr>
      <w:r>
        <w:lastRenderedPageBreak/>
        <w:t>ПРИЛОЖЕНИЕ</w:t>
      </w:r>
    </w:p>
    <w:p w14:paraId="1A7EA7D6" w14:textId="77777777" w:rsidR="004225F4" w:rsidRDefault="0080485B">
      <w:pPr>
        <w:ind w:left="5245"/>
        <w:jc w:val="center"/>
      </w:pPr>
      <w:r>
        <w:t>к постановлению Правительства</w:t>
      </w:r>
    </w:p>
    <w:p w14:paraId="07F97EAF" w14:textId="77777777" w:rsidR="004225F4" w:rsidRDefault="0080485B">
      <w:pPr>
        <w:tabs>
          <w:tab w:val="left" w:pos="5245"/>
        </w:tabs>
        <w:ind w:left="5245"/>
        <w:jc w:val="center"/>
      </w:pPr>
      <w:r>
        <w:t>Забайкальского края</w:t>
      </w:r>
    </w:p>
    <w:p w14:paraId="097DAD0F" w14:textId="77777777" w:rsidR="004225F4" w:rsidRDefault="004225F4">
      <w:pPr>
        <w:jc w:val="center"/>
        <w:rPr>
          <w:b/>
        </w:rPr>
      </w:pPr>
    </w:p>
    <w:p w14:paraId="3564D5BE" w14:textId="77777777" w:rsidR="004225F4" w:rsidRDefault="004225F4">
      <w:pPr>
        <w:jc w:val="center"/>
        <w:rPr>
          <w:b/>
        </w:rPr>
      </w:pPr>
    </w:p>
    <w:p w14:paraId="7868A3D3" w14:textId="77777777" w:rsidR="004225F4" w:rsidRDefault="0080485B">
      <w:pPr>
        <w:jc w:val="center"/>
        <w:outlineLvl w:val="0"/>
        <w:rPr>
          <w:b/>
        </w:rPr>
      </w:pPr>
      <w:r>
        <w:rPr>
          <w:b/>
        </w:rPr>
        <w:t>РАСПРЕДЕЛЕНИЕ</w:t>
      </w:r>
    </w:p>
    <w:p w14:paraId="6161D2A2" w14:textId="77777777" w:rsidR="004225F4" w:rsidRDefault="0080485B">
      <w:pPr>
        <w:jc w:val="center"/>
        <w:rPr>
          <w:b/>
        </w:rPr>
      </w:pPr>
      <w:r>
        <w:rPr>
          <w:b/>
        </w:rPr>
        <w:t>дотаций, предоставляемых в 2025 году из бюджета Забайкальского края бюджетам муниципальных районов, муниципальных округов, городских округов Забайкальского края на обеспечение расходных обязательств по оплате труда работников учреждений бюджетной сферы, финансируемых за счет средств бюджетов муниципальных районов, муниципальных округов, городских округов Забайкальского края</w:t>
      </w:r>
    </w:p>
    <w:p w14:paraId="00DA69CC" w14:textId="77777777" w:rsidR="004225F4" w:rsidRDefault="004225F4">
      <w:pPr>
        <w:jc w:val="center"/>
        <w:rPr>
          <w:b/>
        </w:rPr>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5"/>
        <w:gridCol w:w="2410"/>
      </w:tblGrid>
      <w:tr w:rsidR="004225F4" w14:paraId="656F30B3" w14:textId="77777777">
        <w:trPr>
          <w:trHeight w:val="2403"/>
          <w:tblHeader/>
        </w:trPr>
        <w:tc>
          <w:tcPr>
            <w:tcW w:w="709" w:type="dxa"/>
            <w:noWrap/>
            <w:vAlign w:val="center"/>
          </w:tcPr>
          <w:p w14:paraId="56195B86" w14:textId="77777777" w:rsidR="004225F4" w:rsidRDefault="0080485B">
            <w:pPr>
              <w:jc w:val="center"/>
              <w:rPr>
                <w:b/>
              </w:rPr>
            </w:pPr>
            <w:r>
              <w:rPr>
                <w:b/>
              </w:rPr>
              <w:t>№ п/п</w:t>
            </w:r>
          </w:p>
        </w:tc>
        <w:tc>
          <w:tcPr>
            <w:tcW w:w="6095" w:type="dxa"/>
            <w:noWrap/>
            <w:vAlign w:val="center"/>
          </w:tcPr>
          <w:p w14:paraId="25D90829" w14:textId="77777777" w:rsidR="004225F4" w:rsidRDefault="0080485B">
            <w:pPr>
              <w:jc w:val="center"/>
              <w:rPr>
                <w:b/>
              </w:rPr>
            </w:pPr>
            <w:r>
              <w:rPr>
                <w:b/>
              </w:rPr>
              <w:t>Наименование бюджетов муниципальных районов, муниципальных округов, городских округов Забайкальского края</w:t>
            </w:r>
          </w:p>
        </w:tc>
        <w:tc>
          <w:tcPr>
            <w:tcW w:w="2410" w:type="dxa"/>
            <w:vAlign w:val="center"/>
          </w:tcPr>
          <w:p w14:paraId="121AE217" w14:textId="77777777" w:rsidR="004225F4" w:rsidRDefault="0080485B">
            <w:pPr>
              <w:jc w:val="center"/>
              <w:rPr>
                <w:b/>
                <w:bCs/>
              </w:rPr>
            </w:pPr>
            <w:r>
              <w:rPr>
                <w:b/>
                <w:bCs/>
              </w:rPr>
              <w:t xml:space="preserve">Сумма </w:t>
            </w:r>
          </w:p>
          <w:p w14:paraId="2C6053FD" w14:textId="77777777" w:rsidR="004225F4" w:rsidRDefault="0080485B">
            <w:pPr>
              <w:jc w:val="center"/>
              <w:rPr>
                <w:b/>
                <w:bCs/>
              </w:rPr>
            </w:pPr>
            <w:r>
              <w:rPr>
                <w:b/>
                <w:bCs/>
              </w:rPr>
              <w:t xml:space="preserve">на 2025 год, </w:t>
            </w:r>
          </w:p>
          <w:p w14:paraId="0682DD44" w14:textId="77777777" w:rsidR="004225F4" w:rsidRDefault="0080485B">
            <w:pPr>
              <w:jc w:val="center"/>
              <w:rPr>
                <w:b/>
                <w:bCs/>
              </w:rPr>
            </w:pPr>
            <w:r>
              <w:rPr>
                <w:b/>
                <w:bCs/>
              </w:rPr>
              <w:t>рублей</w:t>
            </w:r>
          </w:p>
        </w:tc>
      </w:tr>
    </w:tbl>
    <w:p w14:paraId="75AC294D" w14:textId="77777777" w:rsidR="004225F4" w:rsidRDefault="004225F4">
      <w:pPr>
        <w:rPr>
          <w:sz w:val="2"/>
          <w:szCs w:val="2"/>
        </w:rPr>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5"/>
        <w:gridCol w:w="2410"/>
      </w:tblGrid>
      <w:tr w:rsidR="004225F4" w14:paraId="1880D932" w14:textId="77777777">
        <w:trPr>
          <w:trHeight w:val="381"/>
          <w:tblHeader/>
        </w:trPr>
        <w:tc>
          <w:tcPr>
            <w:tcW w:w="709" w:type="dxa"/>
            <w:noWrap/>
          </w:tcPr>
          <w:p w14:paraId="68B96CDA" w14:textId="77777777" w:rsidR="004225F4" w:rsidRDefault="0080485B">
            <w:pPr>
              <w:widowControl w:val="0"/>
              <w:jc w:val="center"/>
            </w:pPr>
            <w:r>
              <w:t>1</w:t>
            </w:r>
          </w:p>
        </w:tc>
        <w:tc>
          <w:tcPr>
            <w:tcW w:w="6095" w:type="dxa"/>
            <w:noWrap/>
          </w:tcPr>
          <w:p w14:paraId="2C91C708" w14:textId="77777777" w:rsidR="004225F4" w:rsidRDefault="0080485B">
            <w:pPr>
              <w:widowControl w:val="0"/>
              <w:jc w:val="center"/>
            </w:pPr>
            <w:r>
              <w:t>2</w:t>
            </w:r>
          </w:p>
        </w:tc>
        <w:tc>
          <w:tcPr>
            <w:tcW w:w="2410" w:type="dxa"/>
          </w:tcPr>
          <w:p w14:paraId="6F8D3D98" w14:textId="77777777" w:rsidR="004225F4" w:rsidRDefault="0080485B">
            <w:pPr>
              <w:widowControl w:val="0"/>
              <w:jc w:val="center"/>
            </w:pPr>
            <w:r>
              <w:t>3</w:t>
            </w:r>
          </w:p>
        </w:tc>
      </w:tr>
      <w:tr w:rsidR="004225F4" w14:paraId="625B8EAF" w14:textId="77777777">
        <w:trPr>
          <w:trHeight w:val="617"/>
        </w:trPr>
        <w:tc>
          <w:tcPr>
            <w:tcW w:w="709" w:type="dxa"/>
            <w:noWrap/>
          </w:tcPr>
          <w:p w14:paraId="22191913" w14:textId="77777777" w:rsidR="004225F4" w:rsidRDefault="0080485B">
            <w:pPr>
              <w:widowControl w:val="0"/>
              <w:jc w:val="center"/>
            </w:pPr>
            <w:r>
              <w:t>1.</w:t>
            </w:r>
          </w:p>
        </w:tc>
        <w:tc>
          <w:tcPr>
            <w:tcW w:w="6095" w:type="dxa"/>
            <w:noWrap/>
          </w:tcPr>
          <w:p w14:paraId="37E3B370" w14:textId="77777777" w:rsidR="004225F4" w:rsidRDefault="0080485B">
            <w:pPr>
              <w:widowControl w:val="0"/>
            </w:pPr>
            <w:r>
              <w:t xml:space="preserve">Бюджет муниципального района «Агинский район» Забайкальского края </w:t>
            </w:r>
          </w:p>
        </w:tc>
        <w:tc>
          <w:tcPr>
            <w:tcW w:w="2410" w:type="dxa"/>
          </w:tcPr>
          <w:p w14:paraId="356798BE" w14:textId="77777777" w:rsidR="004225F4" w:rsidRDefault="0080485B">
            <w:pPr>
              <w:jc w:val="center"/>
            </w:pPr>
            <w:r>
              <w:t>49 726 600,0</w:t>
            </w:r>
          </w:p>
        </w:tc>
      </w:tr>
      <w:tr w:rsidR="004225F4" w14:paraId="161A7FF2" w14:textId="77777777">
        <w:trPr>
          <w:trHeight w:val="617"/>
        </w:trPr>
        <w:tc>
          <w:tcPr>
            <w:tcW w:w="709" w:type="dxa"/>
            <w:noWrap/>
          </w:tcPr>
          <w:p w14:paraId="6D7DAB5C" w14:textId="77777777" w:rsidR="004225F4" w:rsidRDefault="0080485B">
            <w:pPr>
              <w:widowControl w:val="0"/>
              <w:jc w:val="center"/>
            </w:pPr>
            <w:r>
              <w:t>2.</w:t>
            </w:r>
          </w:p>
        </w:tc>
        <w:tc>
          <w:tcPr>
            <w:tcW w:w="6095" w:type="dxa"/>
            <w:noWrap/>
          </w:tcPr>
          <w:p w14:paraId="0923D5D2" w14:textId="77777777" w:rsidR="004225F4" w:rsidRDefault="0080485B">
            <w:pPr>
              <w:widowControl w:val="0"/>
            </w:pPr>
            <w:r>
              <w:t xml:space="preserve">Бюджет муниципального района «Борзинский район» Забайкальского края </w:t>
            </w:r>
          </w:p>
        </w:tc>
        <w:tc>
          <w:tcPr>
            <w:tcW w:w="2410" w:type="dxa"/>
          </w:tcPr>
          <w:p w14:paraId="3ECE9442" w14:textId="77777777" w:rsidR="004225F4" w:rsidRDefault="0080485B">
            <w:pPr>
              <w:jc w:val="center"/>
            </w:pPr>
            <w:r>
              <w:t>56 514 300,0</w:t>
            </w:r>
          </w:p>
        </w:tc>
      </w:tr>
      <w:tr w:rsidR="004225F4" w14:paraId="6B1E592D" w14:textId="77777777">
        <w:trPr>
          <w:trHeight w:val="617"/>
        </w:trPr>
        <w:tc>
          <w:tcPr>
            <w:tcW w:w="709" w:type="dxa"/>
            <w:noWrap/>
          </w:tcPr>
          <w:p w14:paraId="11AB23D5" w14:textId="77777777" w:rsidR="004225F4" w:rsidRDefault="0080485B">
            <w:pPr>
              <w:widowControl w:val="0"/>
              <w:jc w:val="center"/>
            </w:pPr>
            <w:r>
              <w:t>3.</w:t>
            </w:r>
          </w:p>
        </w:tc>
        <w:tc>
          <w:tcPr>
            <w:tcW w:w="6095" w:type="dxa"/>
            <w:noWrap/>
          </w:tcPr>
          <w:p w14:paraId="6D8A6FB4" w14:textId="77777777" w:rsidR="004225F4" w:rsidRDefault="0080485B">
            <w:pPr>
              <w:widowControl w:val="0"/>
            </w:pPr>
            <w:r>
              <w:t>Бюджет муниципального района «Дульдургинский район» Забайкальского края</w:t>
            </w:r>
          </w:p>
        </w:tc>
        <w:tc>
          <w:tcPr>
            <w:tcW w:w="2410" w:type="dxa"/>
          </w:tcPr>
          <w:p w14:paraId="72EC379C" w14:textId="77777777" w:rsidR="004225F4" w:rsidRDefault="0080485B">
            <w:pPr>
              <w:jc w:val="center"/>
            </w:pPr>
            <w:r>
              <w:t>30 862 000,0</w:t>
            </w:r>
          </w:p>
        </w:tc>
      </w:tr>
      <w:tr w:rsidR="004225F4" w14:paraId="3A08E162" w14:textId="77777777">
        <w:trPr>
          <w:trHeight w:val="617"/>
        </w:trPr>
        <w:tc>
          <w:tcPr>
            <w:tcW w:w="709" w:type="dxa"/>
            <w:vMerge w:val="restart"/>
            <w:noWrap/>
          </w:tcPr>
          <w:p w14:paraId="064FF6C8" w14:textId="77777777" w:rsidR="004225F4" w:rsidRDefault="0080485B">
            <w:pPr>
              <w:widowControl w:val="0"/>
              <w:jc w:val="center"/>
            </w:pPr>
            <w:r>
              <w:t>4.</w:t>
            </w:r>
          </w:p>
        </w:tc>
        <w:tc>
          <w:tcPr>
            <w:tcW w:w="6095" w:type="dxa"/>
            <w:vMerge w:val="restart"/>
            <w:noWrap/>
          </w:tcPr>
          <w:p w14:paraId="44BB0BA1" w14:textId="77777777" w:rsidR="004225F4" w:rsidRDefault="0080485B">
            <w:pPr>
              <w:widowControl w:val="0"/>
            </w:pPr>
            <w:r>
              <w:t>Бюджет муниципального района «Красночикойский район» Забайкальского края</w:t>
            </w:r>
          </w:p>
        </w:tc>
        <w:tc>
          <w:tcPr>
            <w:tcW w:w="2410" w:type="dxa"/>
            <w:vMerge w:val="restart"/>
          </w:tcPr>
          <w:p w14:paraId="56BA0970" w14:textId="77777777" w:rsidR="004225F4" w:rsidRDefault="0080485B">
            <w:pPr>
              <w:jc w:val="center"/>
            </w:pPr>
            <w:r>
              <w:t>17 724 800,0</w:t>
            </w:r>
          </w:p>
        </w:tc>
      </w:tr>
      <w:tr w:rsidR="004225F4" w14:paraId="539BBFA6" w14:textId="77777777">
        <w:trPr>
          <w:trHeight w:val="617"/>
        </w:trPr>
        <w:tc>
          <w:tcPr>
            <w:tcW w:w="709" w:type="dxa"/>
            <w:vMerge w:val="restart"/>
            <w:noWrap/>
          </w:tcPr>
          <w:p w14:paraId="01BB4253" w14:textId="77777777" w:rsidR="004225F4" w:rsidRDefault="0080485B">
            <w:pPr>
              <w:widowControl w:val="0"/>
              <w:jc w:val="center"/>
            </w:pPr>
            <w:r>
              <w:t>5.</w:t>
            </w:r>
          </w:p>
        </w:tc>
        <w:tc>
          <w:tcPr>
            <w:tcW w:w="6095" w:type="dxa"/>
            <w:vMerge w:val="restart"/>
            <w:noWrap/>
          </w:tcPr>
          <w:p w14:paraId="07EC15D7" w14:textId="77777777" w:rsidR="004225F4" w:rsidRDefault="0080485B">
            <w:pPr>
              <w:widowControl w:val="0"/>
            </w:pPr>
            <w:r>
              <w:t>Бюджет муниципального района «Кыринский район» Забайкальского края</w:t>
            </w:r>
          </w:p>
        </w:tc>
        <w:tc>
          <w:tcPr>
            <w:tcW w:w="2410" w:type="dxa"/>
            <w:vMerge w:val="restart"/>
          </w:tcPr>
          <w:p w14:paraId="070E889E" w14:textId="77777777" w:rsidR="004225F4" w:rsidRDefault="0080485B">
            <w:pPr>
              <w:jc w:val="center"/>
            </w:pPr>
            <w:r>
              <w:t>8 834 800,0</w:t>
            </w:r>
          </w:p>
        </w:tc>
      </w:tr>
      <w:tr w:rsidR="004225F4" w14:paraId="1A02A581" w14:textId="77777777">
        <w:trPr>
          <w:trHeight w:val="617"/>
        </w:trPr>
        <w:tc>
          <w:tcPr>
            <w:tcW w:w="709" w:type="dxa"/>
            <w:noWrap/>
          </w:tcPr>
          <w:p w14:paraId="19141EF9" w14:textId="77777777" w:rsidR="004225F4" w:rsidRDefault="0080485B">
            <w:pPr>
              <w:widowControl w:val="0"/>
              <w:jc w:val="center"/>
            </w:pPr>
            <w:r>
              <w:t>6.</w:t>
            </w:r>
          </w:p>
        </w:tc>
        <w:tc>
          <w:tcPr>
            <w:tcW w:w="6095" w:type="dxa"/>
            <w:noWrap/>
          </w:tcPr>
          <w:p w14:paraId="33F4F6F9" w14:textId="77777777" w:rsidR="004225F4" w:rsidRDefault="0080485B">
            <w:pPr>
              <w:widowControl w:val="0"/>
            </w:pPr>
            <w:r>
              <w:t>Бюджет муниципального района «Могойтуйский район» Забайкальского края</w:t>
            </w:r>
          </w:p>
        </w:tc>
        <w:tc>
          <w:tcPr>
            <w:tcW w:w="2410" w:type="dxa"/>
          </w:tcPr>
          <w:p w14:paraId="57B370FE" w14:textId="35463548" w:rsidR="004225F4" w:rsidRDefault="009570E8">
            <w:pPr>
              <w:jc w:val="center"/>
            </w:pPr>
            <w:r>
              <w:t>32 611 100,0</w:t>
            </w:r>
          </w:p>
        </w:tc>
      </w:tr>
      <w:tr w:rsidR="004225F4" w14:paraId="62188B54" w14:textId="77777777">
        <w:trPr>
          <w:trHeight w:val="617"/>
        </w:trPr>
        <w:tc>
          <w:tcPr>
            <w:tcW w:w="709" w:type="dxa"/>
            <w:vMerge w:val="restart"/>
            <w:noWrap/>
          </w:tcPr>
          <w:p w14:paraId="7294088C" w14:textId="77777777" w:rsidR="004225F4" w:rsidRDefault="0080485B">
            <w:pPr>
              <w:widowControl w:val="0"/>
              <w:jc w:val="center"/>
            </w:pPr>
            <w:r>
              <w:t>7.</w:t>
            </w:r>
          </w:p>
        </w:tc>
        <w:tc>
          <w:tcPr>
            <w:tcW w:w="6095" w:type="dxa"/>
            <w:vMerge w:val="restart"/>
            <w:noWrap/>
          </w:tcPr>
          <w:p w14:paraId="3418D606" w14:textId="77777777" w:rsidR="004225F4" w:rsidRDefault="0080485B">
            <w:pPr>
              <w:widowControl w:val="0"/>
            </w:pPr>
            <w:r>
              <w:t>Бюджет муниципального района «Нерчинский район» Забайкальского края</w:t>
            </w:r>
          </w:p>
        </w:tc>
        <w:tc>
          <w:tcPr>
            <w:tcW w:w="2410" w:type="dxa"/>
            <w:vMerge w:val="restart"/>
          </w:tcPr>
          <w:p w14:paraId="37D78510" w14:textId="77777777" w:rsidR="004225F4" w:rsidRDefault="0080485B">
            <w:pPr>
              <w:jc w:val="center"/>
            </w:pPr>
            <w:r>
              <w:t>43 205 300,0</w:t>
            </w:r>
          </w:p>
        </w:tc>
      </w:tr>
      <w:tr w:rsidR="004225F4" w14:paraId="5259DCD7" w14:textId="77777777">
        <w:trPr>
          <w:trHeight w:val="617"/>
        </w:trPr>
        <w:tc>
          <w:tcPr>
            <w:tcW w:w="709" w:type="dxa"/>
            <w:noWrap/>
          </w:tcPr>
          <w:p w14:paraId="62A61185" w14:textId="77777777" w:rsidR="004225F4" w:rsidRDefault="0080485B">
            <w:pPr>
              <w:widowControl w:val="0"/>
              <w:jc w:val="center"/>
            </w:pPr>
            <w:r>
              <w:t>8.</w:t>
            </w:r>
          </w:p>
        </w:tc>
        <w:tc>
          <w:tcPr>
            <w:tcW w:w="6095" w:type="dxa"/>
            <w:noWrap/>
          </w:tcPr>
          <w:p w14:paraId="17FB0CC3" w14:textId="77777777" w:rsidR="004225F4" w:rsidRDefault="0080485B">
            <w:pPr>
              <w:widowControl w:val="0"/>
            </w:pPr>
            <w:r>
              <w:t xml:space="preserve">Бюджет муниципального района «Оловяннинский район» Забайкальского края </w:t>
            </w:r>
          </w:p>
        </w:tc>
        <w:tc>
          <w:tcPr>
            <w:tcW w:w="2410" w:type="dxa"/>
          </w:tcPr>
          <w:p w14:paraId="15254878" w14:textId="77777777" w:rsidR="004225F4" w:rsidRDefault="0080485B">
            <w:pPr>
              <w:jc w:val="center"/>
            </w:pPr>
            <w:r>
              <w:t>42 230 200,0</w:t>
            </w:r>
          </w:p>
        </w:tc>
      </w:tr>
      <w:tr w:rsidR="004225F4" w14:paraId="1AD5E9CF" w14:textId="77777777">
        <w:trPr>
          <w:trHeight w:val="617"/>
        </w:trPr>
        <w:tc>
          <w:tcPr>
            <w:tcW w:w="709" w:type="dxa"/>
            <w:noWrap/>
          </w:tcPr>
          <w:p w14:paraId="5C79F540" w14:textId="77777777" w:rsidR="004225F4" w:rsidRDefault="0080485B">
            <w:pPr>
              <w:widowControl w:val="0"/>
              <w:jc w:val="center"/>
            </w:pPr>
            <w:r>
              <w:t>9.</w:t>
            </w:r>
          </w:p>
        </w:tc>
        <w:tc>
          <w:tcPr>
            <w:tcW w:w="6095" w:type="dxa"/>
            <w:noWrap/>
          </w:tcPr>
          <w:p w14:paraId="4DC28D96" w14:textId="77777777" w:rsidR="004225F4" w:rsidRDefault="0080485B">
            <w:pPr>
              <w:widowControl w:val="0"/>
            </w:pPr>
            <w:r>
              <w:t>Бюджет муниципального района «Сретенский район» Забайкальского края</w:t>
            </w:r>
          </w:p>
        </w:tc>
        <w:tc>
          <w:tcPr>
            <w:tcW w:w="2410" w:type="dxa"/>
          </w:tcPr>
          <w:p w14:paraId="3BBE9E91" w14:textId="77777777" w:rsidR="004225F4" w:rsidRDefault="0080485B">
            <w:pPr>
              <w:jc w:val="center"/>
            </w:pPr>
            <w:r>
              <w:t>35 889 700,0</w:t>
            </w:r>
          </w:p>
        </w:tc>
      </w:tr>
      <w:tr w:rsidR="004225F4" w14:paraId="4D35552D" w14:textId="77777777">
        <w:trPr>
          <w:trHeight w:val="617"/>
        </w:trPr>
        <w:tc>
          <w:tcPr>
            <w:tcW w:w="709" w:type="dxa"/>
            <w:noWrap/>
          </w:tcPr>
          <w:p w14:paraId="1B776878" w14:textId="77777777" w:rsidR="004225F4" w:rsidRDefault="0080485B">
            <w:pPr>
              <w:widowControl w:val="0"/>
              <w:jc w:val="center"/>
            </w:pPr>
            <w:r>
              <w:t>10.</w:t>
            </w:r>
          </w:p>
        </w:tc>
        <w:tc>
          <w:tcPr>
            <w:tcW w:w="6095" w:type="dxa"/>
            <w:noWrap/>
          </w:tcPr>
          <w:p w14:paraId="4EEF74E5" w14:textId="77777777" w:rsidR="004225F4" w:rsidRDefault="0080485B">
            <w:pPr>
              <w:widowControl w:val="0"/>
            </w:pPr>
            <w:r>
              <w:t>Бюджет муниципального района «Хилокский район» Забайкальского края</w:t>
            </w:r>
          </w:p>
        </w:tc>
        <w:tc>
          <w:tcPr>
            <w:tcW w:w="2410" w:type="dxa"/>
          </w:tcPr>
          <w:p w14:paraId="536462F6" w14:textId="77777777" w:rsidR="004225F4" w:rsidRDefault="0080485B">
            <w:pPr>
              <w:jc w:val="center"/>
            </w:pPr>
            <w:r>
              <w:t>17 666 100,0</w:t>
            </w:r>
          </w:p>
        </w:tc>
      </w:tr>
      <w:tr w:rsidR="004225F4" w14:paraId="34F48486" w14:textId="77777777">
        <w:trPr>
          <w:trHeight w:val="617"/>
        </w:trPr>
        <w:tc>
          <w:tcPr>
            <w:tcW w:w="709" w:type="dxa"/>
            <w:noWrap/>
          </w:tcPr>
          <w:p w14:paraId="12118913" w14:textId="77777777" w:rsidR="004225F4" w:rsidRDefault="0080485B">
            <w:pPr>
              <w:widowControl w:val="0"/>
              <w:jc w:val="center"/>
            </w:pPr>
            <w:r>
              <w:t>11.</w:t>
            </w:r>
          </w:p>
        </w:tc>
        <w:tc>
          <w:tcPr>
            <w:tcW w:w="6095" w:type="dxa"/>
            <w:noWrap/>
          </w:tcPr>
          <w:p w14:paraId="45C45CB1" w14:textId="77777777" w:rsidR="004225F4" w:rsidRDefault="0080485B">
            <w:pPr>
              <w:widowControl w:val="0"/>
            </w:pPr>
            <w:r>
              <w:t xml:space="preserve">Бюджет муниципального района «Чернышевский район» Забайкальского края </w:t>
            </w:r>
          </w:p>
        </w:tc>
        <w:tc>
          <w:tcPr>
            <w:tcW w:w="2410" w:type="dxa"/>
          </w:tcPr>
          <w:p w14:paraId="1924D462" w14:textId="77777777" w:rsidR="004225F4" w:rsidRDefault="0080485B">
            <w:pPr>
              <w:jc w:val="center"/>
            </w:pPr>
            <w:r>
              <w:t>42 241 500,0</w:t>
            </w:r>
          </w:p>
        </w:tc>
      </w:tr>
      <w:tr w:rsidR="004225F4" w14:paraId="2AC0221E" w14:textId="77777777">
        <w:trPr>
          <w:trHeight w:val="617"/>
        </w:trPr>
        <w:tc>
          <w:tcPr>
            <w:tcW w:w="709" w:type="dxa"/>
            <w:vMerge w:val="restart"/>
            <w:noWrap/>
          </w:tcPr>
          <w:p w14:paraId="238CE91D" w14:textId="77777777" w:rsidR="004225F4" w:rsidRDefault="0080485B">
            <w:pPr>
              <w:widowControl w:val="0"/>
              <w:jc w:val="center"/>
            </w:pPr>
            <w:r>
              <w:t>12.</w:t>
            </w:r>
          </w:p>
        </w:tc>
        <w:tc>
          <w:tcPr>
            <w:tcW w:w="6095" w:type="dxa"/>
            <w:vMerge w:val="restart"/>
            <w:noWrap/>
          </w:tcPr>
          <w:p w14:paraId="6FD7CE9B" w14:textId="77777777" w:rsidR="004225F4" w:rsidRDefault="0080485B">
            <w:pPr>
              <w:widowControl w:val="0"/>
            </w:pPr>
            <w:r>
              <w:t>Бюджет муниципального района «Читинский район» Забайкальского края</w:t>
            </w:r>
          </w:p>
        </w:tc>
        <w:tc>
          <w:tcPr>
            <w:tcW w:w="2410" w:type="dxa"/>
            <w:vMerge w:val="restart"/>
          </w:tcPr>
          <w:p w14:paraId="451DFEAE" w14:textId="77777777" w:rsidR="004225F4" w:rsidRDefault="0080485B">
            <w:pPr>
              <w:jc w:val="center"/>
            </w:pPr>
            <w:r>
              <w:t>28 949 900,0</w:t>
            </w:r>
          </w:p>
        </w:tc>
      </w:tr>
      <w:tr w:rsidR="004225F4" w14:paraId="2C57B330" w14:textId="77777777">
        <w:trPr>
          <w:trHeight w:val="307"/>
        </w:trPr>
        <w:tc>
          <w:tcPr>
            <w:tcW w:w="709" w:type="dxa"/>
            <w:noWrap/>
          </w:tcPr>
          <w:p w14:paraId="27E9A8A0" w14:textId="77777777" w:rsidR="004225F4" w:rsidRDefault="0080485B">
            <w:pPr>
              <w:widowControl w:val="0"/>
              <w:jc w:val="center"/>
            </w:pPr>
            <w:r>
              <w:lastRenderedPageBreak/>
              <w:t>13.</w:t>
            </w:r>
          </w:p>
        </w:tc>
        <w:tc>
          <w:tcPr>
            <w:tcW w:w="6095" w:type="dxa"/>
            <w:noWrap/>
          </w:tcPr>
          <w:p w14:paraId="49F6BFCA" w14:textId="77777777" w:rsidR="004225F4" w:rsidRDefault="0080485B">
            <w:r>
              <w:t>Бюджет Акшинского муниципального округа Забайкальского края</w:t>
            </w:r>
          </w:p>
        </w:tc>
        <w:tc>
          <w:tcPr>
            <w:tcW w:w="2410" w:type="dxa"/>
          </w:tcPr>
          <w:p w14:paraId="1A289508" w14:textId="77777777" w:rsidR="004225F4" w:rsidRDefault="0080485B">
            <w:pPr>
              <w:jc w:val="center"/>
            </w:pPr>
            <w:r>
              <w:t>28 465 000,0</w:t>
            </w:r>
          </w:p>
          <w:p w14:paraId="21EA15EC" w14:textId="77777777" w:rsidR="004225F4" w:rsidRDefault="004225F4">
            <w:pPr>
              <w:jc w:val="center"/>
            </w:pPr>
          </w:p>
        </w:tc>
      </w:tr>
      <w:tr w:rsidR="004225F4" w14:paraId="648B7695" w14:textId="77777777">
        <w:trPr>
          <w:trHeight w:val="617"/>
        </w:trPr>
        <w:tc>
          <w:tcPr>
            <w:tcW w:w="709" w:type="dxa"/>
            <w:vMerge w:val="restart"/>
            <w:noWrap/>
          </w:tcPr>
          <w:p w14:paraId="3B81F19C" w14:textId="77777777" w:rsidR="004225F4" w:rsidRDefault="0080485B">
            <w:pPr>
              <w:widowControl w:val="0"/>
              <w:jc w:val="center"/>
            </w:pPr>
            <w:r>
              <w:t>14.</w:t>
            </w:r>
          </w:p>
        </w:tc>
        <w:tc>
          <w:tcPr>
            <w:tcW w:w="6095" w:type="dxa"/>
            <w:vMerge w:val="restart"/>
            <w:noWrap/>
          </w:tcPr>
          <w:p w14:paraId="031EB7DB" w14:textId="77777777" w:rsidR="004225F4" w:rsidRDefault="0080485B">
            <w:pPr>
              <w:widowControl w:val="0"/>
            </w:pPr>
            <w:r>
              <w:t>Бюджет Балейского муниципального округа Забайкальского края</w:t>
            </w:r>
          </w:p>
        </w:tc>
        <w:tc>
          <w:tcPr>
            <w:tcW w:w="2410" w:type="dxa"/>
            <w:vMerge w:val="restart"/>
          </w:tcPr>
          <w:p w14:paraId="4C7FF94A" w14:textId="77777777" w:rsidR="004225F4" w:rsidRDefault="0080485B">
            <w:pPr>
              <w:jc w:val="center"/>
            </w:pPr>
            <w:r>
              <w:t>32 486 100,0</w:t>
            </w:r>
          </w:p>
        </w:tc>
      </w:tr>
      <w:tr w:rsidR="004225F4" w14:paraId="7F914201" w14:textId="77777777">
        <w:trPr>
          <w:trHeight w:val="617"/>
        </w:trPr>
        <w:tc>
          <w:tcPr>
            <w:tcW w:w="709" w:type="dxa"/>
            <w:vMerge w:val="restart"/>
            <w:noWrap/>
          </w:tcPr>
          <w:p w14:paraId="555115C8" w14:textId="77777777" w:rsidR="004225F4" w:rsidRDefault="0080485B">
            <w:pPr>
              <w:widowControl w:val="0"/>
              <w:jc w:val="center"/>
            </w:pPr>
            <w:r>
              <w:t>15.</w:t>
            </w:r>
          </w:p>
        </w:tc>
        <w:tc>
          <w:tcPr>
            <w:tcW w:w="6095" w:type="dxa"/>
            <w:vMerge w:val="restart"/>
            <w:noWrap/>
          </w:tcPr>
          <w:p w14:paraId="22BD89D3" w14:textId="77777777" w:rsidR="004225F4" w:rsidRDefault="0080485B">
            <w:pPr>
              <w:widowControl w:val="0"/>
            </w:pPr>
            <w:r>
              <w:t>Бюджет Калганского муниципального округа Забайкальского края</w:t>
            </w:r>
          </w:p>
        </w:tc>
        <w:tc>
          <w:tcPr>
            <w:tcW w:w="2410" w:type="dxa"/>
            <w:vMerge w:val="restart"/>
          </w:tcPr>
          <w:p w14:paraId="5C5D3A45" w14:textId="77777777" w:rsidR="004225F4" w:rsidRDefault="0080485B">
            <w:pPr>
              <w:jc w:val="center"/>
            </w:pPr>
            <w:r>
              <w:t>9 361 000,0</w:t>
            </w:r>
          </w:p>
        </w:tc>
      </w:tr>
      <w:tr w:rsidR="004225F4" w14:paraId="55DA1873" w14:textId="77777777">
        <w:trPr>
          <w:trHeight w:val="617"/>
        </w:trPr>
        <w:tc>
          <w:tcPr>
            <w:tcW w:w="709" w:type="dxa"/>
            <w:noWrap/>
          </w:tcPr>
          <w:p w14:paraId="029E1182" w14:textId="77777777" w:rsidR="004225F4" w:rsidRDefault="0080485B">
            <w:pPr>
              <w:widowControl w:val="0"/>
              <w:jc w:val="center"/>
            </w:pPr>
            <w:r>
              <w:t>16.</w:t>
            </w:r>
          </w:p>
        </w:tc>
        <w:tc>
          <w:tcPr>
            <w:tcW w:w="6095" w:type="dxa"/>
            <w:noWrap/>
          </w:tcPr>
          <w:p w14:paraId="0512667F" w14:textId="77777777" w:rsidR="004225F4" w:rsidRDefault="0080485B">
            <w:pPr>
              <w:widowControl w:val="0"/>
            </w:pPr>
            <w:r>
              <w:t>Бюджет Ононского муниципального округа Забайкальского края</w:t>
            </w:r>
          </w:p>
        </w:tc>
        <w:tc>
          <w:tcPr>
            <w:tcW w:w="2410" w:type="dxa"/>
          </w:tcPr>
          <w:p w14:paraId="2DF2C771" w14:textId="77777777" w:rsidR="004225F4" w:rsidRDefault="0080485B">
            <w:pPr>
              <w:jc w:val="center"/>
            </w:pPr>
            <w:r>
              <w:t>24 897 800,0</w:t>
            </w:r>
          </w:p>
        </w:tc>
      </w:tr>
      <w:tr w:rsidR="004225F4" w14:paraId="10A4D382" w14:textId="77777777">
        <w:trPr>
          <w:trHeight w:val="617"/>
        </w:trPr>
        <w:tc>
          <w:tcPr>
            <w:tcW w:w="709" w:type="dxa"/>
            <w:noWrap/>
          </w:tcPr>
          <w:p w14:paraId="2AE8DFA3" w14:textId="77777777" w:rsidR="004225F4" w:rsidRDefault="0080485B">
            <w:pPr>
              <w:widowControl w:val="0"/>
              <w:jc w:val="center"/>
            </w:pPr>
            <w:r>
              <w:t>17.</w:t>
            </w:r>
          </w:p>
        </w:tc>
        <w:tc>
          <w:tcPr>
            <w:tcW w:w="6095" w:type="dxa"/>
            <w:noWrap/>
          </w:tcPr>
          <w:p w14:paraId="42D848EE" w14:textId="77777777" w:rsidR="004225F4" w:rsidRDefault="0080485B">
            <w:pPr>
              <w:widowControl w:val="0"/>
            </w:pPr>
            <w:r>
              <w:t>Бюджет Петровск-Забайкальского муниципального округа Забайкальского края</w:t>
            </w:r>
          </w:p>
        </w:tc>
        <w:tc>
          <w:tcPr>
            <w:tcW w:w="2410" w:type="dxa"/>
          </w:tcPr>
          <w:p w14:paraId="7E72AEB2" w14:textId="77777777" w:rsidR="004225F4" w:rsidRDefault="0080485B">
            <w:pPr>
              <w:jc w:val="center"/>
            </w:pPr>
            <w:r>
              <w:t>59 152 000,0</w:t>
            </w:r>
          </w:p>
        </w:tc>
      </w:tr>
      <w:tr w:rsidR="004225F4" w14:paraId="60C501C6" w14:textId="77777777">
        <w:trPr>
          <w:trHeight w:val="617"/>
        </w:trPr>
        <w:tc>
          <w:tcPr>
            <w:tcW w:w="709" w:type="dxa"/>
            <w:noWrap/>
          </w:tcPr>
          <w:p w14:paraId="1E52EAFC" w14:textId="77777777" w:rsidR="004225F4" w:rsidRDefault="0080485B">
            <w:pPr>
              <w:widowControl w:val="0"/>
              <w:jc w:val="center"/>
            </w:pPr>
            <w:r>
              <w:t>18.</w:t>
            </w:r>
          </w:p>
        </w:tc>
        <w:tc>
          <w:tcPr>
            <w:tcW w:w="6095" w:type="dxa"/>
            <w:noWrap/>
          </w:tcPr>
          <w:p w14:paraId="6E0D8755" w14:textId="77777777" w:rsidR="004225F4" w:rsidRDefault="0080485B">
            <w:pPr>
              <w:widowControl w:val="0"/>
            </w:pPr>
            <w:r>
              <w:t>Бюджет Приаргунского муниципального округа Забайкальского края</w:t>
            </w:r>
          </w:p>
        </w:tc>
        <w:tc>
          <w:tcPr>
            <w:tcW w:w="2410" w:type="dxa"/>
          </w:tcPr>
          <w:p w14:paraId="180DB427" w14:textId="77777777" w:rsidR="004225F4" w:rsidRDefault="0080485B">
            <w:pPr>
              <w:jc w:val="center"/>
            </w:pPr>
            <w:r>
              <w:t>42 559 600,0</w:t>
            </w:r>
          </w:p>
        </w:tc>
      </w:tr>
      <w:tr w:rsidR="004225F4" w14:paraId="60B2FA3D" w14:textId="77777777">
        <w:trPr>
          <w:trHeight w:val="617"/>
        </w:trPr>
        <w:tc>
          <w:tcPr>
            <w:tcW w:w="709" w:type="dxa"/>
            <w:noWrap/>
          </w:tcPr>
          <w:p w14:paraId="00E1FF52" w14:textId="77777777" w:rsidR="004225F4" w:rsidRDefault="0080485B">
            <w:pPr>
              <w:widowControl w:val="0"/>
              <w:jc w:val="center"/>
            </w:pPr>
            <w:r>
              <w:t>19.</w:t>
            </w:r>
          </w:p>
        </w:tc>
        <w:tc>
          <w:tcPr>
            <w:tcW w:w="6095" w:type="dxa"/>
            <w:noWrap/>
          </w:tcPr>
          <w:p w14:paraId="790C9FF6" w14:textId="77777777" w:rsidR="004225F4" w:rsidRDefault="0080485B">
            <w:pPr>
              <w:widowControl w:val="0"/>
            </w:pPr>
            <w:r>
              <w:t>Бюджет Тунгокоченского муниципального округа Забайкальского края</w:t>
            </w:r>
          </w:p>
        </w:tc>
        <w:tc>
          <w:tcPr>
            <w:tcW w:w="2410" w:type="dxa"/>
          </w:tcPr>
          <w:p w14:paraId="7461A2E4" w14:textId="77777777" w:rsidR="004225F4" w:rsidRDefault="0080485B">
            <w:pPr>
              <w:jc w:val="center"/>
            </w:pPr>
            <w:r>
              <w:t>16 840 600,0</w:t>
            </w:r>
          </w:p>
        </w:tc>
      </w:tr>
      <w:tr w:rsidR="004225F4" w14:paraId="4754CD4C" w14:textId="77777777">
        <w:trPr>
          <w:trHeight w:val="617"/>
        </w:trPr>
        <w:tc>
          <w:tcPr>
            <w:tcW w:w="709" w:type="dxa"/>
            <w:noWrap/>
          </w:tcPr>
          <w:p w14:paraId="4D36E847" w14:textId="77777777" w:rsidR="004225F4" w:rsidRDefault="0080485B">
            <w:pPr>
              <w:widowControl w:val="0"/>
              <w:jc w:val="center"/>
            </w:pPr>
            <w:r>
              <w:t>20.</w:t>
            </w:r>
          </w:p>
        </w:tc>
        <w:tc>
          <w:tcPr>
            <w:tcW w:w="6095" w:type="dxa"/>
            <w:noWrap/>
          </w:tcPr>
          <w:p w14:paraId="4E79B7C5" w14:textId="77777777" w:rsidR="004225F4" w:rsidRDefault="0080485B">
            <w:pPr>
              <w:widowControl w:val="0"/>
            </w:pPr>
            <w:r>
              <w:t>Бюджет Улётовского муниципального округа Забайкальского края</w:t>
            </w:r>
          </w:p>
        </w:tc>
        <w:tc>
          <w:tcPr>
            <w:tcW w:w="2410" w:type="dxa"/>
          </w:tcPr>
          <w:p w14:paraId="2E8BE173" w14:textId="77777777" w:rsidR="004225F4" w:rsidRDefault="0080485B">
            <w:pPr>
              <w:jc w:val="center"/>
            </w:pPr>
            <w:r>
              <w:t>26 461 200,0</w:t>
            </w:r>
          </w:p>
        </w:tc>
      </w:tr>
      <w:tr w:rsidR="004225F4" w14:paraId="1976187E" w14:textId="77777777">
        <w:trPr>
          <w:trHeight w:val="617"/>
        </w:trPr>
        <w:tc>
          <w:tcPr>
            <w:tcW w:w="709" w:type="dxa"/>
            <w:noWrap/>
          </w:tcPr>
          <w:p w14:paraId="1B54B241" w14:textId="77777777" w:rsidR="004225F4" w:rsidRDefault="0080485B">
            <w:pPr>
              <w:widowControl w:val="0"/>
              <w:jc w:val="center"/>
            </w:pPr>
            <w:r>
              <w:t>21.</w:t>
            </w:r>
          </w:p>
        </w:tc>
        <w:tc>
          <w:tcPr>
            <w:tcW w:w="6095" w:type="dxa"/>
            <w:noWrap/>
          </w:tcPr>
          <w:p w14:paraId="1B4732B2" w14:textId="77777777" w:rsidR="004225F4" w:rsidRDefault="0080485B">
            <w:pPr>
              <w:widowControl w:val="0"/>
            </w:pPr>
            <w:r>
              <w:t>Бюджет Шелопугинского муниципального округа Забайкальского края</w:t>
            </w:r>
          </w:p>
        </w:tc>
        <w:tc>
          <w:tcPr>
            <w:tcW w:w="2410" w:type="dxa"/>
          </w:tcPr>
          <w:p w14:paraId="15708A4B" w14:textId="77777777" w:rsidR="004225F4" w:rsidRDefault="0080485B">
            <w:pPr>
              <w:jc w:val="center"/>
            </w:pPr>
            <w:r>
              <w:t>9 392 600,0</w:t>
            </w:r>
          </w:p>
        </w:tc>
      </w:tr>
      <w:tr w:rsidR="004225F4" w14:paraId="7542CE25" w14:textId="77777777">
        <w:trPr>
          <w:trHeight w:val="617"/>
        </w:trPr>
        <w:tc>
          <w:tcPr>
            <w:tcW w:w="709" w:type="dxa"/>
            <w:noWrap/>
          </w:tcPr>
          <w:p w14:paraId="62966AEB" w14:textId="77777777" w:rsidR="004225F4" w:rsidRDefault="0080485B">
            <w:pPr>
              <w:widowControl w:val="0"/>
              <w:jc w:val="center"/>
            </w:pPr>
            <w:r>
              <w:t>22.</w:t>
            </w:r>
          </w:p>
        </w:tc>
        <w:tc>
          <w:tcPr>
            <w:tcW w:w="6095" w:type="dxa"/>
            <w:noWrap/>
          </w:tcPr>
          <w:p w14:paraId="3F90AEB6" w14:textId="77777777" w:rsidR="004225F4" w:rsidRDefault="0080485B">
            <w:pPr>
              <w:widowControl w:val="0"/>
            </w:pPr>
            <w:r>
              <w:t>Бюджет городского округа закрытое административно-территориальное образование п. Горный Забайкальского края</w:t>
            </w:r>
          </w:p>
        </w:tc>
        <w:tc>
          <w:tcPr>
            <w:tcW w:w="2410" w:type="dxa"/>
          </w:tcPr>
          <w:p w14:paraId="2C8B40D4" w14:textId="77777777" w:rsidR="004225F4" w:rsidRDefault="0080485B">
            <w:pPr>
              <w:jc w:val="center"/>
            </w:pPr>
            <w:r>
              <w:t>7 104 700,0</w:t>
            </w:r>
          </w:p>
        </w:tc>
      </w:tr>
      <w:tr w:rsidR="004225F4" w14:paraId="3CA12B19" w14:textId="77777777">
        <w:trPr>
          <w:trHeight w:val="552"/>
        </w:trPr>
        <w:tc>
          <w:tcPr>
            <w:tcW w:w="709" w:type="dxa"/>
            <w:noWrap/>
          </w:tcPr>
          <w:p w14:paraId="1EEB4613" w14:textId="77777777" w:rsidR="004225F4" w:rsidRDefault="004225F4">
            <w:pPr>
              <w:jc w:val="center"/>
            </w:pPr>
          </w:p>
        </w:tc>
        <w:tc>
          <w:tcPr>
            <w:tcW w:w="6095" w:type="dxa"/>
            <w:noWrap/>
          </w:tcPr>
          <w:p w14:paraId="42EBF848" w14:textId="77777777" w:rsidR="004225F4" w:rsidRDefault="0080485B">
            <w:pPr>
              <w:rPr>
                <w:b/>
                <w:bCs/>
              </w:rPr>
            </w:pPr>
            <w:r>
              <w:rPr>
                <w:b/>
                <w:bCs/>
              </w:rPr>
              <w:t>Всего</w:t>
            </w:r>
          </w:p>
        </w:tc>
        <w:tc>
          <w:tcPr>
            <w:tcW w:w="2410" w:type="dxa"/>
          </w:tcPr>
          <w:p w14:paraId="71A0B087" w14:textId="6A5FEB96" w:rsidR="004225F4" w:rsidRDefault="009570E8">
            <w:pPr>
              <w:jc w:val="center"/>
              <w:rPr>
                <w:b/>
              </w:rPr>
            </w:pPr>
            <w:r>
              <w:rPr>
                <w:b/>
              </w:rPr>
              <w:t>663 176 900,0</w:t>
            </w:r>
          </w:p>
        </w:tc>
      </w:tr>
    </w:tbl>
    <w:p w14:paraId="0DFF21E5" w14:textId="77777777" w:rsidR="004225F4" w:rsidRDefault="004225F4">
      <w:pPr>
        <w:jc w:val="center"/>
      </w:pPr>
    </w:p>
    <w:p w14:paraId="0FC4106E" w14:textId="77777777" w:rsidR="004225F4" w:rsidRDefault="0080485B">
      <w:pPr>
        <w:jc w:val="center"/>
      </w:pPr>
      <w:r>
        <w:t>_______________________</w:t>
      </w:r>
    </w:p>
    <w:sectPr w:rsidR="004225F4">
      <w:headerReference w:type="default" r:id="rId8"/>
      <w:headerReference w:type="first" r:id="rId9"/>
      <w:pgSz w:w="11906" w:h="16838"/>
      <w:pgMar w:top="284" w:right="567" w:bottom="284" w:left="1701" w:header="563"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9D606" w14:textId="77777777" w:rsidR="004225F4" w:rsidRDefault="0080485B">
      <w:r>
        <w:separator/>
      </w:r>
    </w:p>
  </w:endnote>
  <w:endnote w:type="continuationSeparator" w:id="0">
    <w:p w14:paraId="35B78723" w14:textId="77777777" w:rsidR="004225F4" w:rsidRDefault="00804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F99409" w14:textId="77777777" w:rsidR="004225F4" w:rsidRDefault="0080485B">
      <w:r>
        <w:separator/>
      </w:r>
    </w:p>
  </w:footnote>
  <w:footnote w:type="continuationSeparator" w:id="0">
    <w:p w14:paraId="078364AB" w14:textId="77777777" w:rsidR="004225F4" w:rsidRDefault="00804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4B12B" w14:textId="77777777" w:rsidR="004225F4" w:rsidRDefault="0080485B">
    <w:pPr>
      <w:pStyle w:val="ab"/>
      <w:jc w:val="center"/>
    </w:pPr>
    <w:r>
      <w:fldChar w:fldCharType="begin"/>
    </w:r>
    <w:r>
      <w:instrText>PAGE   \* MERGEFORMAT</w:instrText>
    </w:r>
    <w:r>
      <w:fldChar w:fldCharType="separate"/>
    </w:r>
    <w:r>
      <w:rPr>
        <w:lang w:val="ru-RU"/>
      </w:rPr>
      <w:t>2</w:t>
    </w:r>
    <w:r>
      <w:fldChar w:fldCharType="end"/>
    </w:r>
  </w:p>
  <w:p w14:paraId="3A3D6822" w14:textId="77777777" w:rsidR="004225F4" w:rsidRDefault="004225F4">
    <w:pPr>
      <w:pStyle w:val="ab"/>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1940B" w14:textId="77777777" w:rsidR="004225F4" w:rsidRDefault="004225F4">
    <w:pPr>
      <w:pStyle w:val="ab"/>
      <w:jc w:val="center"/>
    </w:pPr>
  </w:p>
  <w:p w14:paraId="7A79531E" w14:textId="77777777" w:rsidR="004225F4" w:rsidRDefault="004225F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16728"/>
    <w:multiLevelType w:val="hybridMultilevel"/>
    <w:tmpl w:val="737CB626"/>
    <w:lvl w:ilvl="0" w:tplc="6E10C280">
      <w:start w:val="1"/>
      <w:numFmt w:val="decimal"/>
      <w:lvlText w:val="%1."/>
      <w:lvlJc w:val="left"/>
      <w:pPr>
        <w:tabs>
          <w:tab w:val="num" w:pos="502"/>
        </w:tabs>
        <w:ind w:left="502" w:hanging="360"/>
      </w:pPr>
      <w:rPr>
        <w:rFonts w:cs="Times New Roman"/>
        <w:color w:val="000000"/>
        <w:sz w:val="24"/>
        <w:szCs w:val="24"/>
      </w:rPr>
    </w:lvl>
    <w:lvl w:ilvl="1" w:tplc="25964BE0">
      <w:start w:val="1"/>
      <w:numFmt w:val="decimal"/>
      <w:lvlText w:val="%2."/>
      <w:lvlJc w:val="left"/>
      <w:pPr>
        <w:tabs>
          <w:tab w:val="num" w:pos="1440"/>
        </w:tabs>
        <w:ind w:left="1440" w:hanging="360"/>
      </w:pPr>
      <w:rPr>
        <w:rFonts w:cs="Times New Roman"/>
      </w:rPr>
    </w:lvl>
    <w:lvl w:ilvl="2" w:tplc="24A431E2">
      <w:start w:val="1"/>
      <w:numFmt w:val="decimal"/>
      <w:lvlText w:val="%3."/>
      <w:lvlJc w:val="left"/>
      <w:pPr>
        <w:tabs>
          <w:tab w:val="num" w:pos="2160"/>
        </w:tabs>
        <w:ind w:left="2160" w:hanging="360"/>
      </w:pPr>
      <w:rPr>
        <w:rFonts w:cs="Times New Roman"/>
      </w:rPr>
    </w:lvl>
    <w:lvl w:ilvl="3" w:tplc="098823B4">
      <w:start w:val="1"/>
      <w:numFmt w:val="decimal"/>
      <w:lvlText w:val="%4."/>
      <w:lvlJc w:val="left"/>
      <w:pPr>
        <w:tabs>
          <w:tab w:val="num" w:pos="2880"/>
        </w:tabs>
        <w:ind w:left="2880" w:hanging="360"/>
      </w:pPr>
      <w:rPr>
        <w:rFonts w:cs="Times New Roman"/>
      </w:rPr>
    </w:lvl>
    <w:lvl w:ilvl="4" w:tplc="36EC5CA8">
      <w:start w:val="1"/>
      <w:numFmt w:val="decimal"/>
      <w:lvlText w:val="%5."/>
      <w:lvlJc w:val="left"/>
      <w:pPr>
        <w:tabs>
          <w:tab w:val="num" w:pos="3600"/>
        </w:tabs>
        <w:ind w:left="3600" w:hanging="360"/>
      </w:pPr>
      <w:rPr>
        <w:rFonts w:cs="Times New Roman"/>
      </w:rPr>
    </w:lvl>
    <w:lvl w:ilvl="5" w:tplc="14649328">
      <w:start w:val="1"/>
      <w:numFmt w:val="decimal"/>
      <w:lvlText w:val="%6."/>
      <w:lvlJc w:val="left"/>
      <w:pPr>
        <w:tabs>
          <w:tab w:val="num" w:pos="4320"/>
        </w:tabs>
        <w:ind w:left="4320" w:hanging="360"/>
      </w:pPr>
      <w:rPr>
        <w:rFonts w:cs="Times New Roman"/>
      </w:rPr>
    </w:lvl>
    <w:lvl w:ilvl="6" w:tplc="F35232B6">
      <w:start w:val="1"/>
      <w:numFmt w:val="decimal"/>
      <w:lvlText w:val="%7."/>
      <w:lvlJc w:val="left"/>
      <w:pPr>
        <w:tabs>
          <w:tab w:val="num" w:pos="5040"/>
        </w:tabs>
        <w:ind w:left="5040" w:hanging="360"/>
      </w:pPr>
      <w:rPr>
        <w:rFonts w:cs="Times New Roman"/>
      </w:rPr>
    </w:lvl>
    <w:lvl w:ilvl="7" w:tplc="CBE0EA8E">
      <w:start w:val="1"/>
      <w:numFmt w:val="decimal"/>
      <w:lvlText w:val="%8."/>
      <w:lvlJc w:val="left"/>
      <w:pPr>
        <w:tabs>
          <w:tab w:val="num" w:pos="5760"/>
        </w:tabs>
        <w:ind w:left="5760" w:hanging="360"/>
      </w:pPr>
      <w:rPr>
        <w:rFonts w:cs="Times New Roman"/>
      </w:rPr>
    </w:lvl>
    <w:lvl w:ilvl="8" w:tplc="F7AC0746">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25F4"/>
    <w:rsid w:val="004225F4"/>
    <w:rsid w:val="0080485B"/>
    <w:rsid w:val="00957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83D78"/>
  <w15:docId w15:val="{EBAC712A-0809-4C9A-9A19-22354DA0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cs="Times New Roman"/>
      <w:color w:val="000000"/>
      <w:sz w:val="28"/>
      <w:szCs w:val="28"/>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rPr>
      <w:lang w:val="en-US"/>
    </w:r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pPr>
    <w:rPr>
      <w:lang w:val="en-US"/>
    </w:r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uiPriority w:val="59"/>
    <w:rPr>
      <w:rFonts w:ascii="Times New Roman" w:hAnsi="Times New Roman" w:cs="Times New Roman"/>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styleId="afa">
    <w:name w:val="Balloon Text"/>
    <w:basedOn w:val="a"/>
    <w:link w:val="afb"/>
    <w:uiPriority w:val="99"/>
    <w:semiHidden/>
    <w:unhideWhenUsed/>
    <w:rPr>
      <w:rFonts w:ascii="Tahoma" w:hAnsi="Tahoma"/>
      <w:sz w:val="16"/>
      <w:szCs w:val="16"/>
      <w:lang w:val="en-US"/>
    </w:rPr>
  </w:style>
  <w:style w:type="character" w:customStyle="1" w:styleId="afb">
    <w:name w:val="Текст выноски Знак"/>
    <w:link w:val="afa"/>
    <w:uiPriority w:val="99"/>
    <w:semiHidden/>
    <w:rPr>
      <w:rFonts w:ascii="Tahoma" w:hAnsi="Tahoma" w:cs="Tahoma"/>
      <w:color w:val="000000"/>
      <w:sz w:val="16"/>
      <w:szCs w:val="16"/>
      <w:lang w:val="en-US" w:eastAsia="ru-RU"/>
    </w:rPr>
  </w:style>
  <w:style w:type="character" w:customStyle="1" w:styleId="ac">
    <w:name w:val="Верхний колонтитул Знак"/>
    <w:link w:val="ab"/>
    <w:uiPriority w:val="99"/>
    <w:rPr>
      <w:rFonts w:ascii="Times New Roman" w:hAnsi="Times New Roman" w:cs="Times New Roman"/>
      <w:color w:val="000000"/>
      <w:sz w:val="28"/>
      <w:szCs w:val="28"/>
      <w:lang w:val="en-US" w:eastAsia="ru-RU"/>
    </w:rPr>
  </w:style>
  <w:style w:type="character" w:customStyle="1" w:styleId="ae">
    <w:name w:val="Нижний колонтитул Знак"/>
    <w:link w:val="ad"/>
    <w:uiPriority w:val="99"/>
    <w:rPr>
      <w:rFonts w:ascii="Times New Roman" w:hAnsi="Times New Roman" w:cs="Times New Roman"/>
      <w:color w:val="000000"/>
      <w:sz w:val="28"/>
      <w:szCs w:val="28"/>
      <w:lang w:val="en-US" w:eastAsia="ru-RU"/>
    </w:rPr>
  </w:style>
  <w:style w:type="paragraph" w:customStyle="1" w:styleId="ConsPlusNormal">
    <w:name w:val="ConsPlusNormal"/>
    <w:pPr>
      <w:widowControl w:val="0"/>
      <w:ind w:firstLine="720"/>
    </w:pPr>
    <w:rPr>
      <w:rFonts w:ascii="Arial" w:hAnsi="Arial" w:cs="Arial"/>
      <w:lang w:eastAsia="ru-RU"/>
    </w:rPr>
  </w:style>
  <w:style w:type="paragraph" w:styleId="afc">
    <w:name w:val="Document Map"/>
    <w:basedOn w:val="a"/>
    <w:link w:val="afd"/>
    <w:uiPriority w:val="99"/>
    <w:semiHidden/>
    <w:unhideWhenUsed/>
    <w:rPr>
      <w:rFonts w:ascii="Tahoma" w:hAnsi="Tahoma"/>
      <w:sz w:val="16"/>
      <w:szCs w:val="16"/>
      <w:lang w:val="en-US" w:eastAsia="en-US"/>
    </w:rPr>
  </w:style>
  <w:style w:type="character" w:customStyle="1" w:styleId="afd">
    <w:name w:val="Схема документа Знак"/>
    <w:link w:val="afc"/>
    <w:uiPriority w:val="99"/>
    <w:semiHidden/>
    <w:rPr>
      <w:rFonts w:ascii="Tahoma" w:hAnsi="Tahoma" w:cs="Tahoma"/>
      <w:color w:val="000000"/>
      <w:sz w:val="16"/>
      <w:szCs w:val="16"/>
    </w:rPr>
  </w:style>
  <w:style w:type="character" w:styleId="afe">
    <w:name w:val="Strong"/>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690</Words>
  <Characters>3937</Characters>
  <Application>Microsoft Office Word</Application>
  <DocSecurity>0</DocSecurity>
  <Lines>32</Lines>
  <Paragraphs>9</Paragraphs>
  <ScaleCrop>false</ScaleCrop>
  <Company>KOMPOFIN</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Макарова Юлия Сергеевна</cp:lastModifiedBy>
  <cp:revision>20</cp:revision>
  <dcterms:created xsi:type="dcterms:W3CDTF">2024-06-13T10:29:00Z</dcterms:created>
  <dcterms:modified xsi:type="dcterms:W3CDTF">2025-11-06T01:40:00Z</dcterms:modified>
  <cp:version>1048576</cp:version>
</cp:coreProperties>
</file>