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89305" cy="8851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8930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1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33"/>
          <w:szCs w:val="33"/>
        </w:rPr>
        <w:t xml:space="preserve">ГУБЕРНАТОР ЗАБАЙКАЛЬСКОГО КРАЯ</w:t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35"/>
          <w:szCs w:val="35"/>
        </w:rPr>
        <w:t xml:space="preserve">ПОСТАНОВЛЕНИЕ</w:t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jc w:val="center"/>
        <w:shd w:val="clear" w:color="auto" w:fill="ffffff"/>
        <w:rPr>
          <w:bCs/>
          <w:sz w:val="35"/>
          <w:szCs w:val="35"/>
        </w:rPr>
      </w:pPr>
      <w:r>
        <w:rPr>
          <w:bCs/>
          <w:sz w:val="35"/>
          <w:szCs w:val="35"/>
        </w:rPr>
        <w:t xml:space="preserve">г. Чита</w:t>
      </w:r>
      <w:r>
        <w:rPr>
          <w:bCs/>
          <w:sz w:val="35"/>
          <w:szCs w:val="35"/>
        </w:rPr>
      </w:r>
      <w:r>
        <w:rPr>
          <w:bCs/>
          <w:sz w:val="35"/>
          <w:szCs w:val="35"/>
        </w:rPr>
      </w:r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 </w:t>
      </w:r>
      <w:hyperlink w:tooltip="#P36" w:anchor="P36" w:history="1"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Поряд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единовременной денежной выплаты гражданам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имеющим трех и более детей, в Забайкальском крае, взамен предоставления земельного участка бесплатно в собственность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</w:pPr>
      <w:r/>
      <w:r/>
    </w:p>
    <w:p>
      <w:pPr>
        <w:pStyle w:val="864"/>
        <w:ind w:firstLine="540"/>
        <w:jc w:val="both"/>
        <w:rPr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tooltip="https://login.consultant.ru/link/?req=doc&amp;base=LAW&amp;n=500137&amp;dst=124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6 статьи 39.5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кодекса Российской Федерации, </w:t>
      </w:r>
      <w:hyperlink r:id="rId12" w:tooltip="https://login.consultant.ru/link/?req=doc&amp;base=RLAW296&amp;n=212942&amp;dst=10024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статьями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4, 5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5</w:t>
      </w:r>
      <w:r>
        <w:rPr>
          <w:rFonts w:ascii="Times New Roman" w:hAnsi="Times New Roman" w:cs="Times New Roman"/>
          <w:color w:val="000000" w:themeColor="text1"/>
          <w:sz w:val="36"/>
          <w:szCs w:val="36"/>
          <w:highlight w:val="white"/>
          <w:vertAlign w:val="superscript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Закона Заб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айкальского края от 1 апреля 2009      № 152-ЗЗК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регулировании земельных отношений на территории Забайкальского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b w:val="0"/>
          <w:color w:val="000000" w:themeColor="text1"/>
          <w:sz w:val="28"/>
          <w:szCs w:val="28"/>
        </w:rPr>
        <w:t xml:space="preserve">, </w:t>
      </w:r>
      <w:r>
        <w:rPr>
          <w:rStyle w:val="860"/>
          <w:b/>
          <w:bCs/>
          <w:color w:val="000000" w:themeColor="text1"/>
          <w:sz w:val="28"/>
          <w:szCs w:val="28"/>
        </w:rPr>
        <w:t xml:space="preserve">постановляет</w:t>
      </w:r>
      <w:r>
        <w:rPr>
          <w:rStyle w:val="860"/>
          <w:b/>
          <w:bCs/>
          <w:color w:val="000000" w:themeColor="text1"/>
          <w:sz w:val="28"/>
          <w:szCs w:val="28"/>
        </w:rPr>
        <w:t xml:space="preserve">: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61"/>
        <w:ind w:firstLine="708"/>
        <w:jc w:val="both"/>
        <w:spacing w:before="0" w:after="0" w:line="240" w:lineRule="auto"/>
        <w:shd w:val="clear" w:color="auto" w:fill="auto"/>
        <w:rPr>
          <w:rStyle w:val="86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860"/>
          <w:color w:val="000000" w:themeColor="text1"/>
          <w:sz w:val="28"/>
          <w:szCs w:val="28"/>
        </w:rPr>
      </w:r>
      <w:r>
        <w:rPr>
          <w:rStyle w:val="860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Утвердить </w:t>
      </w:r>
      <w:hyperlink w:tooltip="#P36" w:anchor="P3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Порядок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редоставления единовременной денежной выплаты гражданам, имеющим трех и более детей, в Забайкальском крае, взамен предоставления земельного участка бесплатно в собственность.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после дня его официального опубликования.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Забайкальского края                                                        А.М. Осипов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Забайкальского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                     2025 г.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lang w:val="en-US"/>
        </w:rPr>
      </w:r>
      <w:r>
        <w:rPr>
          <w:lang w:val="en-US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lang w:val="en-US"/>
        </w:rPr>
      </w:r>
      <w:hyperlink w:tooltip="#P36" w:anchor="P36" w:history="1">
        <w: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Поряд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единовременной денежной выплаты гражданам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имеющим трех и более детей, в Забайкальском крае, взамен предоставления земельного участка бесплатно в собственность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цели и условия предоставления гражданам Российской Федерации, проживающим в Забайкальском крае и имеющим трех и более детей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, которые совместно проживают с родителями (иными законными представителями) или одним из них (далее - родители), с их согласия единовременной денежной выплаты взамен предоставления земельного участка бесплатно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(далее - единовременная выплата).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 Единовременная выплата предоставляется за счет сре</w:t>
      </w:r>
      <w:r>
        <w:rPr>
          <w:rFonts w:ascii="Times New Roman" w:hAnsi="Times New Roman" w:cs="Times New Roman"/>
          <w:sz w:val="28"/>
          <w:szCs w:val="28"/>
        </w:rPr>
        <w:t xml:space="preserve">дств кр</w:t>
      </w:r>
      <w:r>
        <w:rPr>
          <w:rFonts w:ascii="Times New Roman" w:hAnsi="Times New Roman" w:cs="Times New Roman"/>
          <w:sz w:val="28"/>
          <w:szCs w:val="28"/>
        </w:rPr>
        <w:t xml:space="preserve">аевог</w:t>
      </w:r>
      <w:r>
        <w:rPr>
          <w:rFonts w:ascii="Times New Roman" w:hAnsi="Times New Roman" w:cs="Times New Roman"/>
          <w:sz w:val="28"/>
          <w:szCs w:val="28"/>
        </w:rPr>
        <w:t xml:space="preserve">о бюджета Министерством социальной и демографической политики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через государственное казенное учреждение «Краевой центр социальной защиты населения» Забайкальского края (далее – ГКУ «КЦСЗН») по месту жительства или месту пребывания заявителя, по его выбору.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Единовременная выплата осуществляется однократно.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8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Право на единовременную выплату имеют граждане Российской Федерации, проживающие на территории Забайкальского края,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состоящие на учете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качестве нуждающихся в получении земельных участко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в, находящихс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в государственной или муниципальной собственности,  в соответствии с </w:t>
      </w:r>
      <w:hyperlink r:id="rId13" w:tooltip="https://login.consultant.ru/link/?req=doc&amp;base=RLAW296&amp;n=2129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Забайкальского края от 1 апреля 2009 года № 152-ЗЗК «О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регулировании земельных отношений на территории Забайкальского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14" w:tooltip="https://login.consultant.ru/link/?req=doc&amp;base=RLAW296&amp;n=2129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 № 152-ЗЗК), а также состоящие на учете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органах местного самоуправления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муниципальных образований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качестве нуждающихся в улучшении жилищных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порядком, установленным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Родители, </w:t>
      </w:r>
      <w:r>
        <w:rPr>
          <w:rFonts w:ascii="Times New Roman" w:hAnsi="Times New Roman" w:cs="Times New Roman"/>
          <w:sz w:val="28"/>
          <w:szCs w:val="28"/>
        </w:rPr>
        <w:t xml:space="preserve">реализовавшие право на получение единовременной выплаты, утрачивают право на получение земельного участка бесплатно в собственность в соответствии с </w:t>
      </w:r>
      <w:hyperlink r:id="rId15" w:tooltip="https://login.consultant.ru/link/?req=doc&amp;base=RLAW296&amp;n=2129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 № 152-ЗЗК </w:t>
      </w:r>
      <w:r>
        <w:rPr>
          <w:rFonts w:ascii="Times New Roman" w:hAnsi="Times New Roman" w:cs="Times New Roman"/>
          <w:sz w:val="28"/>
          <w:szCs w:val="28"/>
        </w:rPr>
        <w:t xml:space="preserve">и подлежат сняти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 с учета как нуждающегося в получении земельного участка.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708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4. Единовременная выплата имеет целевой характер, денежные средства (часть средств) которой могут быть направлены на цели: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приобретения жилого помещения (жилого дома, части жилого дома, квартиры, части квартиры, комнаты), в том числе путем участия в долевом строительстве (жилого помещения);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приобретения земельного участка;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строительства или реконструкции объекта индивидуального жилищного строительства;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уплаты пер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воначального взноса на получение кредита (займа) на приобретение недвижимого имущества (жилого помещения, земельного участка) или уплаты первоначального взноса на получение кредита (займа) на строительство или реконструкцию объекта жилищного строительства;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погашения основной суммы долга и уплаты процентов по кредиту (займу) на приобретение недвижимого имущества (жилого помещения, земельного участка) или по кредиту (займу) на строительство или реконструкцию объекта жилищного строительства.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единовременной выплаты на приобретение жилого помещения, признанного в установленном порядке непригодным для проживания, или жилого помещения в жилом доме, признанном аварийным и подлежащим сносу или реконструкции, а также на </w:t>
      </w:r>
      <w:r>
        <w:rPr>
          <w:rFonts w:ascii="Times New Roman" w:hAnsi="Times New Roman" w:cs="Times New Roman"/>
          <w:sz w:val="28"/>
          <w:szCs w:val="28"/>
        </w:rPr>
        <w:t xml:space="preserve">погашение процентов, штрафов, комиссий и пеней за просрочку исполнения обязательств по кредиту.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Жилое помещение, земельный участок, объект индивидуального жилищного строительства, на приобретение, строительство или реконструкцию которых направляются средства единовременной выплаты, должны находиться на территории Забайкальского 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Единовременная выплата предоставляется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размере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00 000 рублей на цели, предусмотренные пунктом 4 настоящего Порядка.</w:t>
        <w:tab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Единовременная выплата предоставляется путем безналичного перечисления денежных средств юридическому или</w:t>
      </w:r>
      <w:r>
        <w:rPr>
          <w:rFonts w:ascii="Times New Roman" w:hAnsi="Times New Roman" w:cs="Times New Roman"/>
          <w:sz w:val="28"/>
          <w:szCs w:val="28"/>
        </w:rPr>
        <w:t xml:space="preserve"> физическому лицу, осуществляющему отчуждение приобретаемого недвижимого имущества (жилого помещения, земельного участка), объекта долевого строительства (жилого помещения), либо кредитной организации, предоставившей денежные средства на цели,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пункте 4 настоящего Порядка,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либо юридическому или физическому лицу, выполняющему строительство (реконструкцию) объекта индивидуального жилищного строительства.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8. Единовременная выплата предоставляется гражданам при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одновременном соблюдении следующих условий: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родители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один из родителей)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состоят на учете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качестве нуждающихся в получении земельных участко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в, находящихс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в государственной или муниципальной собственности,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</w:t>
      </w:r>
      <w:hyperlink r:id="rId16" w:tooltip="https://login.consultant.ru/link/?req=doc&amp;base=RLAW296&amp;n=2129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З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акон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  № 152-ЗЗК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родители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дин из родителей) состоят на 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ете в органах местного самоуправления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муниципальных 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качестве нуждающихся  в улучшении жилищных условий в соответствии с порядком, установленным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Жилищным Кодексом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родители в письменной форме выразили 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 получение единовременной выплаты взамен предоставления земельного участка бесплатно в собственность.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9. Лицо, получившее единовременную выплату, обязано оформить объект нед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вижимости, приобретенный (построенный,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реконструированный)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 использованием средств единовременной выплаты, в общую долевую собственность родителей и несовершеннолетних детей с определением равных долей в течение 6 месяцев: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после перечисления средств единовременной выплаты юридическому или физическому лицу, осуществляющему отчуждение объекта недвижимого имущества (жилого помещения, земельного участка);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после ввода в эксплуатацию объекта индивидуального жилищного строительства или объекта долевого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троительства (жилого помещения), либо получения кадастрового паспорта, либо после получения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деятельности, указанного в </w:t>
      </w:r>
      <w:hyperlink r:id="rId17" w:tooltip="https://login.consultant.ru/link/?req=doc&amp;base=LAW&amp;n=511394&amp;dst=266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пункте 5 части 19 статьи 55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Градостр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оительного кодекса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3) после полной выплаты задолженности по кредиту (займу), средства которого были направлены полностью или частично на приобретение (строительство,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реконструкцию)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недвижимого имущества (жилого помещения, земельного участка).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       10. В целях предоставления единовременной выплаты граждане, указанные в </w:t>
      </w:r>
      <w:hyperlink w:tooltip="#P49" w:anchor="P4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части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 (далее - заявитель), обращаются с заявлением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документы, удостоверяющие личность заявителя и членов семьи;</w:t>
        <w:tab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подтверждающие совместное проживание на территории Забайкальского края заявителя с детьми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том, что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либо супруг(супруга)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состоит в качестве имеющего право на получение земельного участка, находящегося в государственной или муниципальной собственности, 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18" w:tooltip="https://login.consultant.ru/link/?req=doc&amp;base=RLAW296&amp;n=2129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байкальского края  № 152-ЗЗК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том, что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либо супруг (супруга)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состоит на учете в органах местного самоуправления в качестве нуждающегося в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улучшении жилищных условий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документ, подтверждающий полномочия представителя заявителя или членов семьи (в случае обращения представителя);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свидетельство о рождении несовершеннолетнего ребенка;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согласие  родителей на получение единовременной выплаты взамен предоставления земельного участка бесплатно в собственность.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11. Дополнительно к документам,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пункте 10 настоящего Порядка, заявитель предоставляет: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1) в случае приобретения недвижимого имущества (жилого помещения, земельного участка), объекта долевого строительства (жилого помещения):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копию договора купли-продажи жилого помещения, заключенного с заявителем и (или) супругом (супругой) заявителя, или копию договора участия в долевом строительстве, заключенного с заявителем и (или) супругом (супругой) заявителя, прошедшего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енную регистрацию в порядке, предусмотренном действующим законодательством, либо копию соглашения (договора) об уступке прав требований по договору участия в долевом строительстве, заключенного с заявителем и (или) супругом (супругой) заявителя, прошедшего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в установленном порядке, в соответствии с положениями Федерального </w:t>
      </w:r>
      <w:hyperlink r:id="rId19" w:tooltip="https://login.consultant.ru/link/?req=doc&amp;base=LAW&amp;n=49463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 декабря 2004 года № 214-ФЗ «Об участии в д</w:t>
      </w:r>
      <w:r>
        <w:rPr>
          <w:rFonts w:ascii="Times New Roman" w:hAnsi="Times New Roman" w:cs="Times New Roman"/>
          <w:sz w:val="28"/>
          <w:szCs w:val="28"/>
        </w:rPr>
        <w:t xml:space="preserve">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или копию иного документа, подтверждающего приобретение недвижимого имущества, с предъявлением оригинала;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реквизиты банковского счета юридического или физического лица, осуществляющего отчуждение приобретаемого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приобретения земельного участка: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копию договора купли-продажи земельного участка, заключенного с заявителем и (или) супругом (супругой) заявителя, с предъявлением оригинала;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реквизиты банковского счета юридического или физического лица, осуществляющего отчуждение приобретаемого земельного участка;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в случае строительства или реконструкции объекта индивидуального жилищного строительства: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копию договора строительного подряда (реконструкции) или возмездного оказания услуг по строительству (реконструкции) объекта индивидуального жилищного строительства, с предъявлением оригинала;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реквизиты банковского счета юридического или физического лица, выполняющего работы или предоставляющего услуги по строительству (реконструкции) объекта индивидуального жилищного строительства;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4) в случае уплаты первоначального взноса на получение кредита (займа) на приобретение недвижимого имущества (жилого помещения, земельного участка) либо на получение кредита (займа) на строительство или реконструкцию объекта жилищного строительства: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копию кредитного договора (договора займа)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недвижимого имущества, на строительство или реконструкцию объекта жилищного строительства, заключенного с заявителем и (или) супругом (супругой) заявителя, кредитором по которому является кредитная организация в соответствии с Федеральным </w:t>
      </w:r>
      <w:hyperlink r:id="rId20" w:tooltip="https://login.consultant.ru/link/?req=doc&amp;base=LAW&amp;n=51148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 декабря 1990 года № 395-1 «О банках и банковской деятельности», с предъявлением оригинала;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информационное письмо кредитной 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возможности получения заявителем и (или) супругом (супругой) заявителя кредита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(займа) на приобретение недвижимого имущества, строительство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реконструкцию объекта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указанием размера кредита (займа);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5) в случае погашения основной суммы долга и уплаты процентов по кредиту (займу) на при</w:t>
      </w:r>
      <w:r>
        <w:rPr>
          <w:rFonts w:ascii="Times New Roman" w:hAnsi="Times New Roman" w:cs="Times New Roman"/>
          <w:sz w:val="28"/>
          <w:szCs w:val="28"/>
        </w:rPr>
        <w:t xml:space="preserve">обретение недвижимого имущества (жилого помещения, земельного участка) или по кредиту (займу) на строительство или реконструкцию объекта жилищного строительства, за исключением иных процентов, штрафов, комиссий и пеней за просрочку исполнения обязательств: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копию кредитного договора (договора займа) на приобретение недвижимого имущества, строительство или реконструкцию объекта жилищного строительства, заключенного с заявителем и (или) супругом (супругой) заявителя, с предъявлением оригинала;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справку кредитной организации об остатке основной суммы долга и процентов по кредиту (займу) без учета иных процентов, штрафов, комиссий, пеней за просрочку исполнения обязательств.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подачи заявления на предоставление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единовременной выплаты лицом, действующим от имени заявителя (далее - представитель заявителя), в уполномоченный орган дополнительно к документам, указанным в </w:t>
      </w:r>
      <w:hyperlink w:tooltip="#P260" w:anchor="P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10, 11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Порядка, представляются: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документ, удостоверяющий личность представителя заявителя;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документ, подтверждающий полномочия представителя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Зая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витель или представитель заявителя представляет в уполномоченный орган документы, предусмотренные </w:t>
      </w:r>
      <w:hyperlink w:tooltip="#P260" w:anchor="P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пунктами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10, 11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изготавливает и заверяет копии представленных документов (оригиналы документов возв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ращает заявителю или представителю заявителя), регистрирует их в журнале учета заявлений получателей в день подачи. Заявителю или представителю заявителя сообщаются дата и номер регистрации документов в устной форме либо посредством электронного сообщения.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Уполномоченный орган в течение 10 рабочих дней со дня регистрации представленных документов запрашивает и получает в рамках межведомственного информационного взаимодействия сведения о документах, предусмотренных подпунктами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2, 3, 4 </w:t>
      </w:r>
      <w:hyperlink w:tooltip="#P260" w:anchor="P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пункта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Заявитель или представитель заявителя вправе представить документы, предусмотренные подпунктами </w:t>
      </w:r>
      <w:hyperlink w:tooltip="#P260" w:anchor="P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пунктов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2, 3, 4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w:tooltip="#P260" w:anchor="P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пункта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по собственной инициативе.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16. Документы могут быть представлены в уполномоченный орган по почте. В этом случае представляются копии документов, верность которых засвидетельствована в установленном законом порядке, подлинники документов не представляются.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регистрирует документы в день их поступления в уполномоченный орган и в течение 5 календарных дней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 даты 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направляет заявителю или представителю заявителя извещение о дате регистрации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Документы могут быть представлены в уполномоченный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рган в форме электронных документов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«Интернет»: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лично или через представителя заявителя при посещении уполномоченного органа;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посредством многофункциональных центров предоставления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иным способом, позволяющим передать в электронном виде заявления и иные документы.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Документы, представляемые в форме электронных документов, должны быть подписаны в соответствии с требованиями Федерального </w:t>
      </w:r>
      <w:hyperlink r:id="rId21" w:tooltip="https://login.consultant.ru/link/?req=doc&amp;base=LAW&amp;n=5036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6 апреля 2011 года № 63-ФЗ «Об электронной подписи» и требованиями </w:t>
      </w:r>
      <w:hyperlink r:id="rId22" w:tooltip="https://login.consultant.ru/link/?req=doc&amp;base=LAW&amp;n=511331&amp;dst=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статей 21.1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23" w:tooltip="https://login.consultant.ru/link/?req=doc&amp;base=LAW&amp;n=511331&amp;dst=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21.2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Уполномоченный орган регистрирует документы в день их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Заявителю или представителю заявителя не позднее 1 рабочего дня, следующего за днем подачи документов, направляется в электронном виде выписка из электронного журнала 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гистрации заявлений, в которой указываются фамилия, имя, отчество (при наличии) заявителя или представителя заявителя, регистрационный номер документов, дата регистрации документов, либо уведомление об отказе в приеме документов с указанием причины отказа.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об отказе в приеме документов, представляемых в электронной форме, принимается в случае отсутствия электронной подписи получателя на заявлении либо несоответствия электронной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одписи требованиям федерального законодательства.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Решение о предоставлении либо об отказе в предоставлении единовременной выплаты принимается уполномоченным органом в течение 10 рабочих дней со дня получения полного пакет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 документов, указанных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w:tooltip="#P260" w:anchor="P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пунктах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10, 11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решения о предоставлении единовременной выплаты в течение 5 рабочих дней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принятия,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ГКУ «КЦСЗН»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 местного самоуправления муниципального образования в Забайкальском крае, в котором заявитель либо супруг(супруга) состоят на учете.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4"/>
        <w:ind w:firstLine="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В удовлетворении заявления о предоставлении единовременной выплаты  заявителю или представителю заявителя отказывается в случаях: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относится к категории лиц,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3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письменного согласия на предоставление единовременной выплаты одного из родителей;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улучшение жилищных условий путем приобретения жилого помещения, земельного участка или строительство (реконструкции) объекта индивидуального жилищного строительства, находящегося за пределами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4) 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факта недостоверности сведений, представленных заявителем (представителем);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5)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аличие информации о признании приобретаемого жилого помещения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непригодным для проживания и (или) о признании многоквартирного дома, в котором находится приобретаемое жилое помещение, аварийным и подлежащим сносу или реконструкции;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договор отчуждения недвижимого имущества, дого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 участия в долевом участии или договор строительного подряда (договор возмездного оказания услуг) не содержит условия, предусматривающие сумму денежных средств, которые заявитель выплачивает полностью или частично за счет средств единовременной выплаты;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единовременная выплата (в полном объеме) предоставлена заявителю ранее.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21. Еди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новременная выплата перечисляется не позднее последнего числа месяца, следующего за месяцем приема (регистрации) заявления с полным пакетом документов, необходимых для предоставления единовременной выплаты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Доставка и пересылка единовременной выплаты производятся организациями почтовой связи, кредитными либо иными организациями по заявлению получателя единовременной выплаты на платной или безвозмездной основе.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на оплату услуг организаций почтовой связи, кредитных либо иных организаций по доставке и пересылке единовременной выплаты получателям осуществляются из тех же источников, из которых производится выплата единовременной выплаты.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услуг организаций почтовой связи, кредитных либо иных организаций по доставке и пересылке единовременной выплаты производится в пределах 1,17 процента доставленных сумм без учета налога на добавленную стоимость.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Уполномоченный орган ежемесячно до 7-го числа текущего месяца представляет Министерству финансов Забайкальского края заявку на финансирование единовременных выплат.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В случае установления факта предоставления заявителем или представителем заявителя недостоверной информации, повлекшей за собой необоснованное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единовременной выплаты, уполномоченный орган не позднее 5 рабочих дней со дня установления данного факта направляет получателю единовременной выплаты письменное уведомление с указанием суммы, причины и срока возврата единовременной выплаты.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В случае согласи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возвратить необоснованно представленную единовременную выплату сумма единовременной выплаты, указанная в письменном уведомлении, перечисляется ее получателем не позднее двух месяцев со дня получения письменного уведомления на счет уполномоченного органа.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В случае если необоснованно представленная сумма единовременной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в течение срока, указанного в настоящем пункте, не поступит на счет уполномоченного органа, уполномоченный орган не позднее 15 рабочих дней после истечения данного срока обращается в суд за взысканием в соо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тветствии с действующим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Предоставление единовременной выплаты осуществляется в пределах лимитов бюджетны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х обязательств, доведенных до уполномоченного органа.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случае недостаточности финансирования на данные цели в текущем финансовом году, предоставление единовременной выплаты переносится на следующий финансовый год, о чем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ГКУ «КЦСЗН»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формирует заявителя (представителя) в течение 7 рабочих дн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ей с даты, когда стало известно о недостаточности лимитов посредством почтового отправления, электронной связи или иным способом, обеспечивающим подтверждение уведомления заявителя о данном решении).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28.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После доведения лимитов до уполномоченного органа, заявителю в течение 7 рабочих дней с даты получения лимитов направляется уведомление о перечислении единовременной выплаты с указание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 порядка и срока ее перечисления в соответствии с принятым ранее решением о предоставлении единовременной выплаты посредством почтового отправления, электронной связи или иным способом, обеспечивающим подтверждение уведомления заявителем о данном решении.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Средства, используемые уполномоченным органом не по целевому назначению, а также неиспользованные средства подлежат возврату в бюджет Забайкальского края в соответствии с бюджетным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530003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5"/>
    <w:next w:val="855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6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5"/>
    <w:next w:val="855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6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5"/>
    <w:next w:val="855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6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6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6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6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6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6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6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5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5"/>
    <w:next w:val="855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6"/>
    <w:link w:val="698"/>
    <w:uiPriority w:val="10"/>
    <w:rPr>
      <w:sz w:val="48"/>
      <w:szCs w:val="48"/>
    </w:rPr>
  </w:style>
  <w:style w:type="paragraph" w:styleId="700">
    <w:name w:val="Subtitle"/>
    <w:basedOn w:val="855"/>
    <w:next w:val="855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6"/>
    <w:link w:val="700"/>
    <w:uiPriority w:val="11"/>
    <w:rPr>
      <w:sz w:val="24"/>
      <w:szCs w:val="24"/>
    </w:rPr>
  </w:style>
  <w:style w:type="paragraph" w:styleId="702">
    <w:name w:val="Quote"/>
    <w:basedOn w:val="855"/>
    <w:next w:val="855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5"/>
    <w:next w:val="855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6"/>
    <w:link w:val="867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6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Основной текст (4)_"/>
    <w:basedOn w:val="856"/>
    <w:link w:val="861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860" w:customStyle="1">
    <w:name w:val="Основной текст (2) + Интервал 3 pt"/>
    <w:basedOn w:val="856"/>
    <w:rPr>
      <w:rFonts w:ascii="Times New Roman" w:hAnsi="Times New Roman" w:eastAsia="Times New Roman" w:cs="Times New Roman"/>
      <w:color w:val="000000"/>
      <w:spacing w:val="60"/>
      <w:position w:val="0"/>
      <w:sz w:val="24"/>
      <w:szCs w:val="24"/>
      <w:shd w:val="clear" w:color="auto" w:fill="ffffff"/>
      <w:lang w:val="ru-RU" w:eastAsia="ru-RU" w:bidi="ru-RU"/>
    </w:rPr>
  </w:style>
  <w:style w:type="paragraph" w:styleId="861" w:customStyle="1">
    <w:name w:val="Основной текст (4)"/>
    <w:basedOn w:val="855"/>
    <w:link w:val="859"/>
    <w:pPr>
      <w:jc w:val="center"/>
      <w:spacing w:before="60" w:after="720" w:line="0" w:lineRule="atLeast"/>
      <w:shd w:val="clear" w:color="auto" w:fill="ffffff"/>
      <w:widowControl w:val="off"/>
    </w:pPr>
    <w:rPr>
      <w:b/>
      <w:bCs/>
      <w:sz w:val="26"/>
      <w:szCs w:val="26"/>
      <w:lang w:eastAsia="en-US"/>
    </w:rPr>
  </w:style>
  <w:style w:type="character" w:styleId="862" w:customStyle="1">
    <w:name w:val="Основной текст (2)_"/>
    <w:basedOn w:val="856"/>
    <w:link w:val="863"/>
    <w:rPr>
      <w:rFonts w:ascii="Times New Roman" w:hAnsi="Times New Roman" w:eastAsia="Times New Roman" w:cs="Times New Roman"/>
      <w:shd w:val="clear" w:color="auto" w:fill="ffffff"/>
    </w:rPr>
  </w:style>
  <w:style w:type="paragraph" w:styleId="863" w:customStyle="1">
    <w:name w:val="Основной текст (2)"/>
    <w:basedOn w:val="855"/>
    <w:link w:val="862"/>
    <w:pPr>
      <w:jc w:val="center"/>
      <w:spacing w:after="60" w:line="0" w:lineRule="atLeas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86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5">
    <w:name w:val="Body Text"/>
    <w:basedOn w:val="855"/>
    <w:link w:val="866"/>
    <w:pPr>
      <w:jc w:val="center"/>
    </w:pPr>
    <w:rPr>
      <w:sz w:val="28"/>
    </w:rPr>
  </w:style>
  <w:style w:type="character" w:styleId="866" w:customStyle="1">
    <w:name w:val="Основной текст Знак"/>
    <w:basedOn w:val="856"/>
    <w:link w:val="86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7">
    <w:name w:val="Header"/>
    <w:basedOn w:val="855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56"/>
    <w:link w:val="86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9">
    <w:name w:val="Balloon Text"/>
    <w:basedOn w:val="855"/>
    <w:link w:val="870"/>
    <w:uiPriority w:val="99"/>
    <w:semiHidden/>
    <w:unhideWhenUsed/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56"/>
    <w:link w:val="86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Relationship Id="rId11" Type="http://schemas.openxmlformats.org/officeDocument/2006/relationships/hyperlink" Target="https://login.consultant.ru/link/?req=doc&amp;base=LAW&amp;n=500137&amp;dst=1246" TargetMode="External"/><Relationship Id="rId12" Type="http://schemas.openxmlformats.org/officeDocument/2006/relationships/hyperlink" Target="https://login.consultant.ru/link/?req=doc&amp;base=RLAW296&amp;n=212942&amp;dst=100247" TargetMode="External"/><Relationship Id="rId13" Type="http://schemas.openxmlformats.org/officeDocument/2006/relationships/hyperlink" Target="https://login.consultant.ru/link/?req=doc&amp;base=RLAW296&amp;n=212942" TargetMode="External"/><Relationship Id="rId14" Type="http://schemas.openxmlformats.org/officeDocument/2006/relationships/hyperlink" Target="https://login.consultant.ru/link/?req=doc&amp;base=RLAW296&amp;n=212942" TargetMode="External"/><Relationship Id="rId15" Type="http://schemas.openxmlformats.org/officeDocument/2006/relationships/hyperlink" Target="https://login.consultant.ru/link/?req=doc&amp;base=RLAW296&amp;n=212942" TargetMode="External"/><Relationship Id="rId16" Type="http://schemas.openxmlformats.org/officeDocument/2006/relationships/hyperlink" Target="https://login.consultant.ru/link/?req=doc&amp;base=RLAW296&amp;n=212942" TargetMode="External"/><Relationship Id="rId17" Type="http://schemas.openxmlformats.org/officeDocument/2006/relationships/hyperlink" Target="https://login.consultant.ru/link/?req=doc&amp;base=LAW&amp;n=511394&amp;dst=2665" TargetMode="External"/><Relationship Id="rId18" Type="http://schemas.openxmlformats.org/officeDocument/2006/relationships/hyperlink" Target="https://login.consultant.ru/link/?req=doc&amp;base=RLAW296&amp;n=212942" TargetMode="External"/><Relationship Id="rId19" Type="http://schemas.openxmlformats.org/officeDocument/2006/relationships/hyperlink" Target="https://login.consultant.ru/link/?req=doc&amp;base=LAW&amp;n=494633" TargetMode="External"/><Relationship Id="rId20" Type="http://schemas.openxmlformats.org/officeDocument/2006/relationships/hyperlink" Target="https://login.consultant.ru/link/?req=doc&amp;base=LAW&amp;n=511485" TargetMode="External"/><Relationship Id="rId21" Type="http://schemas.openxmlformats.org/officeDocument/2006/relationships/hyperlink" Target="https://login.consultant.ru/link/?req=doc&amp;base=LAW&amp;n=503689" TargetMode="External"/><Relationship Id="rId22" Type="http://schemas.openxmlformats.org/officeDocument/2006/relationships/hyperlink" Target="https://login.consultant.ru/link/?req=doc&amp;base=LAW&amp;n=511331&amp;dst=1" TargetMode="External"/><Relationship Id="rId23" Type="http://schemas.openxmlformats.org/officeDocument/2006/relationships/hyperlink" Target="https://login.consultant.ru/link/?req=doc&amp;base=LAW&amp;n=511331&amp;dst=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A012-D92B-4F64-B725-C62FA3CB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RN41 (Михайлова 143)</dc:creator>
  <cp:revision>9</cp:revision>
  <dcterms:created xsi:type="dcterms:W3CDTF">2024-10-09T01:40:00Z</dcterms:created>
  <dcterms:modified xsi:type="dcterms:W3CDTF">2025-12-01T09:57:44Z</dcterms:modified>
</cp:coreProperties>
</file>