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/>
      <w:bookmarkStart w:id="0" w:name="OLE_LINK4"/>
      <w:r>
        <w:rPr>
          <w:rFonts w:ascii="TimesNewRoman" w:hAnsi="TimesNewRoman" w:eastAsia="TimesNewRoman" w:cs="TimesNew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5015" cy="7975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501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45pt;height:62.8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10"/>
        </w:rPr>
      </w:pPr>
      <w:r>
        <w:rPr>
          <w:rFonts w:ascii="TimesNewRoman" w:hAnsi="TimesNewRoman" w:eastAsia="TimesNewRoman" w:cs="TimesNewRoman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spacing w:val="-10"/>
        </w:rPr>
      </w:r>
      <w:r>
        <w:rPr>
          <w:rFonts w:ascii="TimesNewRoman" w:hAnsi="TimesNewRoman" w:eastAsia="TimesNewRoman" w:cs="TimesNewRoman"/>
          <w:spacing w:val="-10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5"/>
          <w:sz w:val="35"/>
        </w:rPr>
      </w:pP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10"/>
          <w:sz w:val="6"/>
        </w:rPr>
      </w:pPr>
      <w:r>
        <w:rPr>
          <w:rFonts w:ascii="TimesNewRoman" w:hAnsi="TimesNewRoman" w:eastAsia="TimesNewRoman" w:cs="TimesNewRoman"/>
          <w:spacing w:val="-5"/>
          <w:sz w:val="35"/>
        </w:rPr>
        <w:t xml:space="preserve">г. Чита</w:t>
      </w:r>
      <w:bookmarkEnd w:id="0"/>
      <w:r>
        <w:rPr>
          <w:rFonts w:ascii="TimesNewRoman" w:hAnsi="TimesNewRoman" w:eastAsia="TimesNewRoman" w:cs="TimesNewRoman"/>
          <w:spacing w:val="-10"/>
          <w:sz w:val="6"/>
        </w:rPr>
      </w:r>
      <w:r>
        <w:rPr>
          <w:rFonts w:ascii="TimesNewRoman" w:hAnsi="TimesNewRoman" w:eastAsia="TimesNewRoman" w:cs="TimesNewRoman"/>
          <w:spacing w:val="-10"/>
          <w:sz w:val="6"/>
        </w:rPr>
      </w:r>
    </w:p>
    <w:p>
      <w:pPr>
        <w:contextualSpacing/>
        <w:jc w:val="both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933"/>
        <w:ind w:firstLine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contextualSpacing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ind w:firstLine="720"/>
        <w:jc w:val="both"/>
        <w:tabs>
          <w:tab w:val="left" w:pos="1080" w:leader="none"/>
        </w:tabs>
        <w:rPr>
          <w:rFonts w:ascii="TimesNewRoman" w:hAnsi="TimesNewRoman" w:eastAsia="TimesNewRoman" w:cs="TimesNewRoman"/>
          <w:b/>
          <w:spacing w:val="70"/>
          <w:sz w:val="28"/>
        </w:rPr>
      </w:pP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color w:val="000000"/>
          <w:spacing w:val="4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Правительст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b/>
          <w:color w:val="000000"/>
          <w:spacing w:val="20"/>
          <w:sz w:val="28"/>
        </w:rPr>
      </w:pP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</w:p>
    <w:p>
      <w:pPr>
        <w:ind w:firstLine="709"/>
        <w:jc w:val="both"/>
        <w:rPr>
          <w:sz w:val="28"/>
        </w:rPr>
        <w:outlineLvl w:val="0"/>
      </w:pPr>
      <w:r>
        <w:rPr>
          <w:rFonts w:ascii="TimesNewRoman" w:hAnsi="TimesNewRoman" w:eastAsia="TimesNewRoman" w:cs="TimesNewRoman"/>
          <w:sz w:val="28"/>
        </w:rPr>
        <w:t xml:space="preserve">1. Внести в </w:t>
      </w:r>
      <w:r>
        <w:rPr>
          <w:rFonts w:ascii="TimesNewRoman" w:hAnsi="TimesNewRoman" w:eastAsia="TimesNewRoman" w:cs="TimesNewRoman"/>
          <w:sz w:val="28"/>
        </w:rPr>
        <w:t xml:space="preserve">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</w:t>
      </w:r>
      <w:r>
        <w:rPr>
          <w:rFonts w:ascii="TimesNewRoman" w:hAnsi="TimesNewRoman" w:eastAsia="TimesNewRoman" w:cs="TimesNewRoman"/>
          <w:sz w:val="28"/>
        </w:rPr>
        <w:t xml:space="preserve">постановлением Правительства Забайкальского края от</w:t>
      </w:r>
      <w:r>
        <w:rPr>
          <w:rFonts w:ascii="TimesNewRoman" w:hAnsi="TimesNewRoman" w:eastAsia="TimesNewRoman" w:cs="TimesNewRoman"/>
          <w:b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6 октября 2009 года № 377</w:t>
      </w:r>
      <w:r>
        <w:rPr>
          <w:rFonts w:ascii="TimesNewRoman" w:hAnsi="TimesNewRoman" w:eastAsia="TimesNewRoman" w:cs="TimesNewRoman"/>
          <w:sz w:val="28"/>
        </w:rPr>
        <w:t xml:space="preserve"> (с изменениями, внесенными постановлениями Правительства Забайкальского края от 8 декабря 2014 года № 669, от 28 сентября 2016 года </w:t>
      </w:r>
      <w:r>
        <w:rPr>
          <w:rFonts w:ascii="TimesNewRoman" w:hAnsi="TimesNewRoman" w:eastAsia="TimesNewRoman" w:cs="TimesNewRoman"/>
          <w:sz w:val="28"/>
        </w:rPr>
        <w:br/>
        <w:t xml:space="preserve">№ 393, от 30 ноября 2016 года № 435, от 23 декаб</w:t>
      </w:r>
      <w:r>
        <w:rPr>
          <w:rFonts w:ascii="TimesNewRoman" w:hAnsi="TimesNewRoman" w:eastAsia="TimesNewRoman" w:cs="TimesNewRoman"/>
          <w:sz w:val="28"/>
        </w:rPr>
        <w:t xml:space="preserve">ря 2016 года № 482, </w:t>
      </w:r>
      <w:r>
        <w:rPr>
          <w:rFonts w:ascii="TimesNewRoman" w:hAnsi="TimesNewRoman" w:eastAsia="TimesNewRoman" w:cs="TimesNewRoman"/>
          <w:sz w:val="28"/>
        </w:rPr>
        <w:br/>
        <w:t xml:space="preserve">от 27 декабря 2016 года № 488, от 24 января 2017 года № 13, от 1 февраля </w:t>
      </w:r>
      <w:r>
        <w:rPr>
          <w:rFonts w:ascii="TimesNewRoman" w:hAnsi="TimesNewRoman" w:eastAsia="TimesNewRoman" w:cs="TimesNewRoman"/>
          <w:sz w:val="28"/>
        </w:rPr>
        <w:br/>
        <w:t xml:space="preserve">2017 года № 22, от 16 июня 2017 года № 245, от 11 июля 2017 года № 279, </w:t>
      </w:r>
      <w:r>
        <w:rPr>
          <w:rFonts w:ascii="TimesNewRoman" w:hAnsi="TimesNewRoman" w:eastAsia="TimesNewRoman" w:cs="TimesNewRoman"/>
          <w:sz w:val="28"/>
        </w:rPr>
        <w:br/>
        <w:t xml:space="preserve">от 20 сентября 2017 года № 385, от 24 октября 2017 года №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438, </w:t>
      </w:r>
      <w:r>
        <w:rPr>
          <w:rFonts w:ascii="TimesNewRoman" w:hAnsi="TimesNewRoman" w:eastAsia="TimesNewRoman" w:cs="TimesNewRoman"/>
          <w:sz w:val="28"/>
        </w:rPr>
        <w:br/>
        <w:t xml:space="preserve">от 19 декабря 2017 года </w:t>
      </w:r>
      <w:r>
        <w:rPr>
          <w:rFonts w:ascii="TimesNewRoman" w:hAnsi="TimesNewRoman" w:eastAsia="TimesNewRoman" w:cs="TimesNewRoman"/>
          <w:sz w:val="28"/>
        </w:rPr>
        <w:t xml:space="preserve">№ 551, от 19 марта 2018 года № 89, от 10 апреля </w:t>
      </w:r>
      <w:r>
        <w:rPr>
          <w:rFonts w:ascii="TimesNewRoman" w:hAnsi="TimesNewRoman" w:eastAsia="TimesNewRoman" w:cs="TimesNewRoman"/>
          <w:sz w:val="28"/>
        </w:rPr>
        <w:br/>
        <w:t xml:space="preserve">2018 года № 137, от 24 июля 2018 года № 294, от 18 сентября 2018 года </w:t>
      </w:r>
      <w:r>
        <w:rPr>
          <w:rFonts w:ascii="TimesNewRoman" w:hAnsi="TimesNewRoman" w:eastAsia="TimesNewRoman" w:cs="TimesNewRoman"/>
          <w:sz w:val="28"/>
        </w:rPr>
        <w:br/>
        <w:t xml:space="preserve">№ 380, от 5 октября 2018 года № 423, от 26 декабря 2018 года № 531, </w:t>
      </w:r>
      <w:r>
        <w:rPr>
          <w:rFonts w:ascii="TimesNewRoman" w:hAnsi="TimesNewRoman" w:eastAsia="TimesNewRoman" w:cs="TimesNewRoman"/>
          <w:sz w:val="28"/>
        </w:rPr>
        <w:br/>
        <w:t xml:space="preserve">от 7 февраля 2019 года № 24, от 26 апреля 2019 года № 166, от 14 ию</w:t>
      </w:r>
      <w:r>
        <w:rPr>
          <w:rFonts w:ascii="TimesNewRoman" w:hAnsi="TimesNewRoman" w:eastAsia="TimesNewRoman" w:cs="TimesNewRoman"/>
          <w:sz w:val="28"/>
        </w:rPr>
        <w:t xml:space="preserve">ня </w:t>
      </w:r>
      <w:r>
        <w:rPr>
          <w:rFonts w:ascii="TimesNewRoman" w:hAnsi="TimesNewRoman" w:eastAsia="TimesNewRoman" w:cs="TimesNewRoman"/>
          <w:sz w:val="28"/>
        </w:rPr>
        <w:br/>
        <w:t xml:space="preserve">2019 года № 242, от 8 августа 2019 года № 320, от 3 августа 2020 года № 307, от 3 сентября 2020 года № 369, от 28 октября 2020 года № 446, от 26 декабря 2020 года № 597, от 3 февраля 2021 года № 13, от 12 апреля 2021 года № 112, от 19 мая 2021 года № 1</w:t>
      </w:r>
      <w:r>
        <w:rPr>
          <w:rFonts w:ascii="TimesNewRoman" w:hAnsi="TimesNewRoman" w:eastAsia="TimesNewRoman" w:cs="TimesNewRoman"/>
          <w:sz w:val="28"/>
        </w:rPr>
        <w:t xml:space="preserve">76, от 26 мая 2021 года № 188, от 13 июля 2021 года № 252, от 27 августа 2021 года № 335, от 3 марта 2022 года № 66, от 11 июля 2022 года № 294, от 13 июля 2022 года № 298, от 13 июля 2022 года № 299, от 17 февраля 2023 года № 78, от 18 апреля 2023 года № </w:t>
      </w:r>
      <w:r>
        <w:rPr>
          <w:rFonts w:ascii="TimesNewRoman" w:hAnsi="TimesNewRoman" w:eastAsia="TimesNewRoman" w:cs="TimesNewRoman"/>
          <w:sz w:val="28"/>
        </w:rPr>
        <w:t xml:space="preserve">187, от 10 августа 2023 года № 424, от 29 января 2024 года № 23, от 8 мая 2024 года № 228, </w:t>
      </w:r>
      <w:r>
        <w:rPr>
          <w:rFonts w:ascii="TimesNewRoman" w:hAnsi="TimesNewRoman" w:eastAsia="TimesNewRoman" w:cs="TimesNewRoman"/>
          <w:sz w:val="28"/>
        </w:rPr>
        <w:br/>
        <w:t xml:space="preserve">от 23 мая 2024 года № 248, от 2 июля 2024 года № 319, от 18 сентября 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 xml:space="preserve">2024 года № 465, от 30 сентября 2024 года № 501, от 10 июня 2025 года </w:t>
      </w:r>
      <w:r>
        <w:rPr>
          <w:rFonts w:ascii="TimesNewRoman" w:hAnsi="TimesNewRoman" w:eastAsia="TimesNewRoman" w:cs="TimesNewRoman"/>
          <w:sz w:val="28"/>
        </w:rPr>
        <w:br/>
        <w:t xml:space="preserve">№ 299, от 17 июля 2025 </w:t>
      </w:r>
      <w:r>
        <w:rPr>
          <w:rFonts w:ascii="TimesNewRoman" w:hAnsi="TimesNewRoman" w:eastAsia="TimesNewRoman" w:cs="TimesNewRoman"/>
          <w:sz w:val="28"/>
        </w:rPr>
        <w:t xml:space="preserve">года № 382, от 13 августа 2025 года № 440</w:t>
      </w:r>
      <w:r>
        <w:rPr>
          <w:rFonts w:ascii="TimesNewRoman" w:hAnsi="TimesNewRoman" w:eastAsia="TimesNewRoman" w:cs="TimesNewRoman"/>
          <w:sz w:val="28"/>
        </w:rPr>
        <w:t xml:space="preserve">,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 xml:space="preserve">от 25 августа 2025 года № 464</w:t>
      </w:r>
      <w:r>
        <w:rPr>
          <w:rFonts w:ascii="TimesNewRoman" w:hAnsi="TimesNewRoman" w:eastAsia="TimesNewRoman" w:cs="TimesNewRoman"/>
          <w:sz w:val="28"/>
        </w:rPr>
        <w:t xml:space="preserve">, от 16 октября 2025 года № 579, от 27 октября 2025 года № 604, от 1 декабря 2025 года № 705, от 1 декабря 2025 года </w:t>
        <w:br/>
        <w:t xml:space="preserve">№ 706, от 8 декабря 2025 года № 721),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следующие изменения: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1) </w:t>
      </w:r>
      <w:r>
        <w:rPr>
          <w:rFonts w:ascii="TimesNewRoman" w:hAnsi="TimesNewRoman" w:eastAsia="TimesNewRoman" w:cs="TimesNewRoman"/>
          <w:sz w:val="28"/>
        </w:rPr>
        <w:t xml:space="preserve">подпункт 4.100 пункта 4 признать утратившим силу</w:t>
      </w:r>
      <w:r>
        <w:rPr>
          <w:rFonts w:ascii="TimesNewRoman" w:hAnsi="TimesNewRoman" w:eastAsia="TimesNewRoman" w:cs="TimesNewRoman"/>
          <w:sz w:val="28"/>
        </w:rPr>
        <w:t xml:space="preserve">;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</w:rPr>
        <w:outlineLvl w:val="0"/>
      </w:pPr>
      <w:r>
        <w:rPr>
          <w:rFonts w:ascii="TimesNewRoman" w:hAnsi="TimesNewRoman" w:eastAsia="TimesNewRoman" w:cs="TimesNewRoman"/>
          <w:sz w:val="28"/>
        </w:rPr>
        <w:t xml:space="preserve">2) </w:t>
      </w:r>
      <w:r>
        <w:rPr>
          <w:rFonts w:ascii="TimesNewRoman" w:hAnsi="TimesNewRoman" w:eastAsia="TimesNewRoman" w:cs="TimesNewRoman"/>
          <w:sz w:val="28"/>
        </w:rPr>
        <w:t xml:space="preserve">дополнить </w:t>
      </w:r>
      <w:r>
        <w:rPr>
          <w:rFonts w:ascii="TimesNewRoman" w:hAnsi="TimesNewRoman" w:eastAsia="TimesNewRoman" w:cs="TimesNewRoman"/>
          <w:sz w:val="28"/>
        </w:rPr>
        <w:t xml:space="preserve">пунктом 13</w:t>
      </w:r>
      <w:r>
        <w:rPr>
          <w:rFonts w:ascii="TimesNewRoman" w:hAnsi="TimesNewRoman" w:eastAsia="TimesNewRoman" w:cs="TimesNewRoman"/>
          <w:sz w:val="28"/>
          <w:vertAlign w:val="superscript"/>
        </w:rPr>
        <w:t xml:space="preserve">2</w:t>
      </w:r>
      <w:r>
        <w:rPr>
          <w:rFonts w:ascii="TimesNewRoman" w:hAnsi="TimesNewRoman" w:eastAsia="TimesNewRoman" w:cs="TimesNewRoman"/>
          <w:sz w:val="28"/>
        </w:rPr>
        <w:t xml:space="preserve"> следующего содержания: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left="0" w:right="0" w:firstLine="0"/>
        <w:jc w:val="center"/>
        <w:rPr>
          <w:rFonts w:ascii="TimesNewRoman" w:hAnsi="TimesNewRoman" w:eastAsia="TimesNewRoman" w:cs="TimesNewRoman"/>
          <w:b/>
          <w:sz w:val="28"/>
        </w:rPr>
        <w:outlineLvl w:val="0"/>
      </w:pPr>
      <w:r>
        <w:rPr>
          <w:rFonts w:ascii="TimesNewRoman" w:hAnsi="TimesNewRoman" w:eastAsia="TimesNewRoman" w:cs="TimesNewRoman"/>
          <w:b/>
          <w:sz w:val="28"/>
        </w:rPr>
        <w:t xml:space="preserve">«13</w:t>
      </w:r>
      <w:r>
        <w:rPr>
          <w:rFonts w:ascii="TimesNewRoman" w:hAnsi="TimesNewRoman" w:eastAsia="TimesNewRoman" w:cs="TimesNewRoman"/>
          <w:b/>
          <w:sz w:val="28"/>
          <w:vertAlign w:val="superscript"/>
        </w:rPr>
        <w:t xml:space="preserve">2</w:t>
      </w:r>
      <w:r>
        <w:rPr>
          <w:rFonts w:ascii="TimesNewRoman" w:hAnsi="TimesNewRoman" w:eastAsia="TimesNewRoman" w:cs="TimesNewRoman"/>
          <w:b/>
          <w:sz w:val="28"/>
        </w:rPr>
        <w:t xml:space="preserve">.  Краевые государственные учреждения, координация</w:t>
      </w:r>
      <w:r>
        <w:rPr>
          <w:rFonts w:ascii="TimesNewRoman" w:hAnsi="TimesNewRoman" w:eastAsia="TimesNewRoman" w:cs="TimesNewRoman"/>
          <w:b/>
          <w:sz w:val="28"/>
        </w:rPr>
        <w:br/>
      </w:r>
      <w:r>
        <w:rPr>
          <w:rFonts w:ascii="TimesNewRoman" w:hAnsi="TimesNewRoman" w:eastAsia="TimesNewRoman" w:cs="TimesNewRoman"/>
          <w:b/>
          <w:sz w:val="28"/>
        </w:rPr>
        <w:t xml:space="preserve">и регули</w:t>
      </w:r>
      <w:r>
        <w:rPr>
          <w:rFonts w:ascii="TimesNewRoman" w:hAnsi="TimesNewRoman" w:eastAsia="TimesNewRoman" w:cs="TimesNewRoman"/>
          <w:b/>
          <w:sz w:val="28"/>
        </w:rPr>
        <w:t xml:space="preserve">рование деятельности которых возложены</w:t>
      </w:r>
      <w:r>
        <w:rPr>
          <w:rFonts w:ascii="TimesNewRoman" w:hAnsi="TimesNewRoman" w:eastAsia="TimesNewRoman" w:cs="TimesNewRoman"/>
          <w:b/>
          <w:sz w:val="28"/>
        </w:rPr>
        <w:br/>
      </w:r>
      <w:r>
        <w:rPr>
          <w:rFonts w:ascii="TimesNewRoman" w:hAnsi="TimesNewRoman" w:eastAsia="TimesNewRoman" w:cs="TimesNewRoman"/>
          <w:b/>
          <w:sz w:val="28"/>
        </w:rPr>
        <w:t xml:space="preserve">на Департамент труда и занятости Забайкальского края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</w:rPr>
        <w:outlineLvl w:val="0"/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color w:val="000000"/>
          <w:sz w:val="28"/>
        </w:rPr>
        <w:outlineLvl w:val="0"/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13</w:t>
      </w:r>
      <w:r>
        <w:rPr>
          <w:rFonts w:ascii="TimesNewRoman" w:hAnsi="TimesNewRoman" w:eastAsia="TimesNewRoman" w:cs="TimesNewRoman"/>
          <w:color w:val="000000"/>
          <w:sz w:val="28"/>
          <w:vertAlign w:val="superscript"/>
        </w:rPr>
        <w:t xml:space="preserve">2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.1. Государственное казенное учреждение «Краевой центр занятости населения» Забайкальского края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.»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/>
      <w:bookmarkStart w:id="1" w:name="_GoBack"/>
      <w:r/>
      <w:bookmarkEnd w:id="1"/>
      <w:r>
        <w:rPr>
          <w:rFonts w:ascii="TimesNewRoman" w:hAnsi="TimesNewRoman" w:eastAsia="TimesNewRoman" w:cs="TimesNewRoman"/>
          <w:sz w:val="28"/>
        </w:rPr>
        <w:t xml:space="preserve">2.  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Настоящее постановление вступает в силу с 1 января 2026 года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.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Первый заместитель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председателя Правительства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Забайкальского края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  <w:t xml:space="preserve">                                            Б.Б.Батомункуев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33"/>
        <w:ind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33"/>
        <w:ind w:firstLine="567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endnote>
  <w:end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footnote>
  <w:foot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continuation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widowControl w:val="off"/>
      <w:rPr>
        <w:rFonts w:ascii="TimesNewRoman" w:hAnsi="TimesNewRoman" w:eastAsia="TimesNewRoman" w:cs="TimesNewRoman"/>
      </w:rPr>
      <w:framePr w:wrap="auto" w:vAnchor="text" w:hAnchor="margin" w:xAlign="center"/>
    </w:pPr>
    <w:r>
      <w:rPr>
        <w:rFonts w:ascii="TimesNewRoman" w:hAnsi="TimesNewRoman" w:eastAsia="TimesNewRoman" w:cs="TimesNewRoman"/>
      </w:rPr>
      <w:fldChar w:fldCharType="begin"/>
    </w:r>
    <w:r>
      <w:rPr>
        <w:rFonts w:ascii="TimesNewRoman" w:hAnsi="TimesNewRoman" w:eastAsia="TimesNewRoman" w:cs="TimesNewRoman"/>
      </w:rPr>
      <w:instrText xml:space="preserve">PAGE  </w:instrText>
    </w:r>
    <w:r>
      <w:fldChar w:fldCharType="separate"/>
    </w:r>
    <w:r>
      <w:rPr>
        <w:rFonts w:ascii="TimesNewRoman" w:hAnsi="TimesNewRoman" w:eastAsia="TimesNewRoman" w:cs="TimesNewRoman"/>
      </w:rPr>
      <w:t xml:space="preserve">2</w:t>
    </w:r>
    <w:r>
      <w:fldChar w:fldCharType="end"/>
    </w: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  <w:p>
    <w:pPr>
      <w:pStyle w:val="931"/>
      <w:rPr>
        <w:rFonts w:ascii="TimesNewRoman" w:hAnsi="TimesNewRoman" w:eastAsia="TimesNewRoman" w:cs="TimesNewRoman"/>
      </w:rPr>
    </w:pP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·"/>
      <w:lvlJc w:val="left"/>
      <w:pPr>
        <w:ind w:hanging="37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5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49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65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0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00"/>
      </w:pPr>
    </w:lvl>
    <w:lvl w:ilvl="1">
      <w:start w:val="6"/>
      <w:numFmt w:val="decimal"/>
      <w:isLgl w:val="false"/>
      <w:suff w:val="tab"/>
      <w:lvlText w:val="o"/>
      <w:lvlJc w:val="left"/>
      <w:pPr>
        <w:ind w:hanging="900"/>
      </w:pPr>
    </w:lvl>
    <w:lvl w:ilvl="2">
      <w:start w:val="21"/>
      <w:numFmt w:val="decimal"/>
      <w:isLgl w:val="false"/>
      <w:suff w:val="tab"/>
      <w:lvlText w:val="5□.%"/>
      <w:lvlJc w:val="left"/>
      <w:pPr>
        <w:ind w:hanging="900"/>
      </w:pPr>
    </w:lvl>
    <w:lvl w:ilvl="3">
      <w:start w:val="1"/>
      <w:numFmt w:val="decimal"/>
      <w:isLgl w:val="false"/>
      <w:suff w:val="tab"/>
      <w:lvlText w:val="7□.%4633.%"/>
      <w:lvlJc w:val="left"/>
      <w:pPr>
        <w:ind w:hanging="1080"/>
      </w:pPr>
    </w:lvl>
    <w:lvl w:ilvl="4">
      <w:start w:val="1"/>
      <w:numFmt w:val="decimal"/>
      <w:isLgl w:val="false"/>
      <w:suff w:val="tab"/>
      <w:lvlText w:val="9□.%4633.%5633.%"/>
      <w:lvlJc w:val="left"/>
      <w:pPr>
        <w:ind w:hanging="1080"/>
      </w:pPr>
    </w:lvl>
    <w:lvl w:ilvl="5">
      <w:start w:val="1"/>
      <w:numFmt w:val="decimal"/>
      <w:isLgl w:val="false"/>
      <w:suff w:val="tab"/>
      <w:lvlText w:val="11□.%4633.%5633.%6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3633.%4633.%5633.%6633.%763"/>
      <w:lvlJc w:val="left"/>
      <w:pPr>
        <w:ind w:hanging="1440"/>
      </w:pPr>
    </w:lvl>
    <w:lvl w:ilvl="7">
      <w:start w:val="1"/>
      <w:numFmt w:val="decimal"/>
      <w:isLgl w:val="false"/>
      <w:suff w:val="tab"/>
      <w:lvlText w:val="%3633.%4633.%5633.%6633.%7633.%86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8">
    <w:multiLevelType w:val="hybridMultilevel"/>
    <w:lvl w:ilvl="0">
      <w:start w:val="27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1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5"/>
  </w:num>
  <w:num w:numId="5">
    <w:abstractNumId w:val="22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19"/>
  </w:num>
  <w:num w:numId="11">
    <w:abstractNumId w:val="9"/>
  </w:num>
  <w:num w:numId="12">
    <w:abstractNumId w:val="27"/>
  </w:num>
  <w:num w:numId="13">
    <w:abstractNumId w:val="21"/>
  </w:num>
  <w:num w:numId="14">
    <w:abstractNumId w:val="13"/>
  </w:num>
  <w:num w:numId="15">
    <w:abstractNumId w:val="6"/>
  </w:num>
  <w:num w:numId="16">
    <w:abstractNumId w:val="17"/>
  </w:num>
  <w:num w:numId="17">
    <w:abstractNumId w:val="24"/>
  </w:num>
  <w:num w:numId="18">
    <w:abstractNumId w:val="7"/>
  </w:num>
  <w:num w:numId="19">
    <w:abstractNumId w:val="23"/>
  </w:num>
  <w:num w:numId="20">
    <w:abstractNumId w:val="18"/>
  </w:num>
  <w:num w:numId="21">
    <w:abstractNumId w:val="28"/>
  </w:num>
  <w:num w:numId="22">
    <w:abstractNumId w:val="25"/>
  </w:num>
  <w:num w:numId="23">
    <w:abstractNumId w:val="20"/>
  </w:num>
  <w:num w:numId="24">
    <w:abstractNumId w:val="31"/>
  </w:num>
  <w:num w:numId="25">
    <w:abstractNumId w:val="14"/>
  </w:num>
  <w:num w:numId="26">
    <w:abstractNumId w:val="32"/>
  </w:num>
  <w:num w:numId="27">
    <w:abstractNumId w:val="26"/>
  </w:num>
  <w:num w:numId="28">
    <w:abstractNumId w:val="12"/>
  </w:num>
  <w:num w:numId="29">
    <w:abstractNumId w:val="30"/>
  </w:num>
  <w:num w:numId="30">
    <w:abstractNumId w:val="3"/>
  </w:num>
  <w:num w:numId="31">
    <w:abstractNumId w:val="10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rPr>
      <w:sz w:val="24"/>
    </w:rPr>
  </w:style>
  <w:style w:type="paragraph" w:styleId="751">
    <w:name w:val="Heading 1"/>
    <w:basedOn w:val="750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52">
    <w:name w:val="Heading 2"/>
    <w:basedOn w:val="750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54">
    <w:name w:val="Heading 4"/>
    <w:basedOn w:val="750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55">
    <w:name w:val="Heading 5"/>
    <w:basedOn w:val="750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56">
    <w:name w:val="Heading 6"/>
    <w:basedOn w:val="750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57">
    <w:name w:val="Heading 7"/>
    <w:basedOn w:val="750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58">
    <w:name w:val="Heading 8"/>
    <w:basedOn w:val="750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59">
    <w:name w:val="Heading 9"/>
    <w:basedOn w:val="750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rPr>
      <w:rFonts w:ascii="Arial" w:hAnsi="Arial" w:eastAsia="Arial" w:cs="Arial"/>
      <w:sz w:val="40"/>
    </w:rPr>
  </w:style>
  <w:style w:type="character" w:styleId="764" w:customStyle="1">
    <w:name w:val="Heading 2 Char"/>
    <w:rPr>
      <w:rFonts w:ascii="Arial" w:hAnsi="Arial" w:eastAsia="Arial" w:cs="Arial"/>
      <w:sz w:val="34"/>
    </w:rPr>
  </w:style>
  <w:style w:type="character" w:styleId="765" w:customStyle="1">
    <w:name w:val="Heading 3 Char"/>
    <w:rPr>
      <w:rFonts w:ascii="Arial" w:hAnsi="Arial" w:eastAsia="Arial" w:cs="Arial"/>
      <w:sz w:val="30"/>
    </w:rPr>
  </w:style>
  <w:style w:type="character" w:styleId="766" w:customStyle="1">
    <w:name w:val="Heading 4 Char"/>
    <w:rPr>
      <w:rFonts w:ascii="Arial" w:hAnsi="Arial" w:eastAsia="Arial" w:cs="Arial"/>
      <w:b/>
      <w:sz w:val="26"/>
    </w:rPr>
  </w:style>
  <w:style w:type="character" w:styleId="767" w:customStyle="1">
    <w:name w:val="Heading 5 Char"/>
    <w:rPr>
      <w:rFonts w:ascii="Arial" w:hAnsi="Arial" w:eastAsia="Arial" w:cs="Arial"/>
      <w:b/>
      <w:sz w:val="24"/>
    </w:rPr>
  </w:style>
  <w:style w:type="character" w:styleId="768" w:customStyle="1">
    <w:name w:val="Heading 6 Char"/>
    <w:rPr>
      <w:rFonts w:ascii="Arial" w:hAnsi="Arial" w:eastAsia="Arial" w:cs="Arial"/>
      <w:b/>
      <w:sz w:val="22"/>
    </w:rPr>
  </w:style>
  <w:style w:type="character" w:styleId="769" w:customStyle="1">
    <w:name w:val="Heading 7 Char"/>
    <w:rPr>
      <w:rFonts w:ascii="Arial" w:hAnsi="Arial" w:eastAsia="Arial" w:cs="Arial"/>
      <w:b/>
      <w:i/>
      <w:sz w:val="22"/>
    </w:rPr>
  </w:style>
  <w:style w:type="character" w:styleId="770" w:customStyle="1">
    <w:name w:val="Heading 8 Char"/>
    <w:rPr>
      <w:rFonts w:ascii="Arial" w:hAnsi="Arial" w:eastAsia="Arial" w:cs="Arial"/>
      <w:i/>
      <w:sz w:val="22"/>
    </w:rPr>
  </w:style>
  <w:style w:type="character" w:styleId="771" w:customStyle="1">
    <w:name w:val="Heading 9 Char"/>
    <w:rPr>
      <w:rFonts w:ascii="Arial" w:hAnsi="Arial" w:eastAsia="Arial" w:cs="Arial"/>
      <w:i/>
      <w:sz w:val="21"/>
    </w:rPr>
  </w:style>
  <w:style w:type="paragraph" w:styleId="772">
    <w:name w:val="No Spacing"/>
    <w:qFormat/>
    <w:rPr>
      <w:sz w:val="24"/>
    </w:rPr>
  </w:style>
  <w:style w:type="paragraph" w:styleId="773">
    <w:name w:val="Title"/>
    <w:basedOn w:val="750"/>
    <w:qFormat/>
    <w:pPr>
      <w:contextualSpacing/>
      <w:spacing w:before="300" w:after="200"/>
    </w:pPr>
    <w:rPr>
      <w:sz w:val="48"/>
    </w:rPr>
  </w:style>
  <w:style w:type="character" w:styleId="774" w:customStyle="1">
    <w:name w:val="Title Char"/>
    <w:rPr>
      <w:rFonts w:ascii="Calibri" w:hAnsi="Calibri" w:eastAsia="Calibri" w:cs="Calibri"/>
      <w:sz w:val="48"/>
    </w:rPr>
  </w:style>
  <w:style w:type="paragraph" w:styleId="775">
    <w:name w:val="Subtitle"/>
    <w:basedOn w:val="750"/>
    <w:qFormat/>
    <w:pPr>
      <w:spacing w:before="200" w:after="200"/>
    </w:pPr>
  </w:style>
  <w:style w:type="character" w:styleId="776" w:customStyle="1">
    <w:name w:val="Subtitle Char"/>
    <w:rPr>
      <w:rFonts w:ascii="Calibri" w:hAnsi="Calibri" w:eastAsia="Calibri" w:cs="Calibri"/>
      <w:sz w:val="24"/>
    </w:rPr>
  </w:style>
  <w:style w:type="paragraph" w:styleId="777">
    <w:name w:val="Quote"/>
    <w:basedOn w:val="750"/>
    <w:qFormat/>
    <w:pPr>
      <w:ind w:left="720"/>
    </w:pPr>
    <w:rPr>
      <w:i/>
    </w:rPr>
  </w:style>
  <w:style w:type="character" w:styleId="778" w:customStyle="1">
    <w:name w:val="Quote Char"/>
    <w:rPr>
      <w:rFonts w:ascii="Calibri" w:hAnsi="Calibri" w:eastAsia="Calibri" w:cs="Calibri"/>
      <w:i/>
      <w:sz w:val="24"/>
    </w:rPr>
  </w:style>
  <w:style w:type="paragraph" w:styleId="779">
    <w:name w:val="Intense Quote"/>
    <w:basedOn w:val="750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Intense Quote Char"/>
    <w:rPr>
      <w:rFonts w:ascii="Calibri" w:hAnsi="Calibri" w:eastAsia="Calibri" w:cs="Calibri"/>
      <w:i/>
      <w:sz w:val="24"/>
    </w:rPr>
  </w:style>
  <w:style w:type="character" w:styleId="781" w:customStyle="1">
    <w:name w:val="Header Char"/>
    <w:rPr>
      <w:rFonts w:ascii="Calibri" w:hAnsi="Calibri" w:eastAsia="Calibri" w:cs="Calibri"/>
      <w:sz w:val="24"/>
    </w:rPr>
  </w:style>
  <w:style w:type="paragraph" w:styleId="782">
    <w:name w:val="Footer"/>
    <w:basedOn w:val="750"/>
    <w:unhideWhenUsed/>
    <w:pPr>
      <w:tabs>
        <w:tab w:val="center" w:pos="7143" w:leader="none"/>
        <w:tab w:val="right" w:pos="14287" w:leader="none"/>
      </w:tabs>
    </w:pPr>
  </w:style>
  <w:style w:type="character" w:styleId="783" w:customStyle="1">
    <w:name w:val="Footer Char"/>
    <w:rPr>
      <w:rFonts w:ascii="Calibri" w:hAnsi="Calibri" w:eastAsia="Calibri" w:cs="Calibri"/>
      <w:sz w:val="24"/>
    </w:rPr>
  </w:style>
  <w:style w:type="paragraph" w:styleId="784">
    <w:name w:val="Caption"/>
    <w:basedOn w:val="750"/>
    <w:semiHidden/>
    <w:unhideWhenUsed/>
    <w:qFormat/>
    <w:pPr>
      <w:spacing w:line="276" w:lineRule="auto"/>
    </w:pPr>
    <w:rPr>
      <w:b/>
      <w:color w:val="4f81bd"/>
      <w:sz w:val="18"/>
    </w:rPr>
  </w:style>
  <w:style w:type="character" w:styleId="785" w:customStyle="1">
    <w:name w:val="Caption Char"/>
    <w:rPr>
      <w:rFonts w:ascii="Calibri" w:hAnsi="Calibri" w:eastAsia="Calibri" w:cs="Calibri"/>
      <w:sz w:val="24"/>
    </w:rPr>
  </w:style>
  <w:style w:type="table" w:styleId="786">
    <w:name w:val="Table Grid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Table Grid Light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Plain Table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Plain Table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Plain Table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1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2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3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4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5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6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1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2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3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4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5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6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1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2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3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4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5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6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paragraph" w:styleId="912">
    <w:name w:val="footnote text"/>
    <w:basedOn w:val="750"/>
    <w:semiHidden/>
    <w:unhideWhenUsed/>
    <w:pPr>
      <w:spacing w:after="40"/>
    </w:pPr>
    <w:rPr>
      <w:sz w:val="18"/>
    </w:rPr>
  </w:style>
  <w:style w:type="character" w:styleId="913" w:customStyle="1">
    <w:name w:val="Footnote Text Char"/>
    <w:rPr>
      <w:rFonts w:ascii="Calibri" w:hAnsi="Calibri" w:eastAsia="Calibri" w:cs="Calibri"/>
      <w:sz w:val="18"/>
    </w:rPr>
  </w:style>
  <w:style w:type="character" w:styleId="914">
    <w:name w:val="footnote reference"/>
    <w:unhideWhenUsed/>
    <w:rPr>
      <w:rFonts w:ascii="Calibri" w:hAnsi="Calibri" w:eastAsia="Calibri" w:cs="Calibri"/>
      <w:sz w:val="24"/>
      <w:vertAlign w:val="superscript"/>
    </w:rPr>
  </w:style>
  <w:style w:type="paragraph" w:styleId="915">
    <w:name w:val="endnote text"/>
    <w:basedOn w:val="750"/>
    <w:semiHidden/>
    <w:unhideWhenUsed/>
    <w:rPr>
      <w:sz w:val="20"/>
    </w:rPr>
  </w:style>
  <w:style w:type="character" w:styleId="916" w:customStyle="1">
    <w:name w:val="Endnote Text Char"/>
    <w:rPr>
      <w:rFonts w:ascii="Calibri" w:hAnsi="Calibri" w:eastAsia="Calibri" w:cs="Calibri"/>
      <w:sz w:val="20"/>
    </w:rPr>
  </w:style>
  <w:style w:type="character" w:styleId="917">
    <w:name w:val="endnote reference"/>
    <w:semiHidden/>
    <w:unhideWhenUsed/>
    <w:rPr>
      <w:rFonts w:ascii="Calibri" w:hAnsi="Calibri" w:eastAsia="Calibri" w:cs="Calibri"/>
      <w:sz w:val="24"/>
      <w:vertAlign w:val="superscript"/>
    </w:rPr>
  </w:style>
  <w:style w:type="paragraph" w:styleId="918">
    <w:name w:val="toc 1"/>
    <w:basedOn w:val="750"/>
    <w:unhideWhenUsed/>
    <w:pPr>
      <w:spacing w:after="57"/>
    </w:pPr>
  </w:style>
  <w:style w:type="paragraph" w:styleId="919">
    <w:name w:val="toc 2"/>
    <w:basedOn w:val="750"/>
    <w:unhideWhenUsed/>
    <w:pPr>
      <w:ind w:left="283"/>
      <w:spacing w:after="57"/>
    </w:pPr>
  </w:style>
  <w:style w:type="paragraph" w:styleId="920">
    <w:name w:val="toc 3"/>
    <w:basedOn w:val="750"/>
    <w:unhideWhenUsed/>
    <w:pPr>
      <w:ind w:left="567"/>
      <w:spacing w:after="57"/>
    </w:pPr>
  </w:style>
  <w:style w:type="paragraph" w:styleId="921">
    <w:name w:val="toc 4"/>
    <w:basedOn w:val="750"/>
    <w:unhideWhenUsed/>
    <w:pPr>
      <w:ind w:left="850"/>
      <w:spacing w:after="57"/>
    </w:pPr>
  </w:style>
  <w:style w:type="paragraph" w:styleId="922">
    <w:name w:val="toc 5"/>
    <w:basedOn w:val="750"/>
    <w:unhideWhenUsed/>
    <w:pPr>
      <w:ind w:left="1134"/>
      <w:spacing w:after="57"/>
    </w:pPr>
  </w:style>
  <w:style w:type="paragraph" w:styleId="923">
    <w:name w:val="toc 6"/>
    <w:basedOn w:val="750"/>
    <w:unhideWhenUsed/>
    <w:pPr>
      <w:ind w:left="1417"/>
      <w:spacing w:after="57"/>
    </w:pPr>
  </w:style>
  <w:style w:type="paragraph" w:styleId="924">
    <w:name w:val="toc 7"/>
    <w:basedOn w:val="750"/>
    <w:unhideWhenUsed/>
    <w:pPr>
      <w:ind w:left="1701"/>
      <w:spacing w:after="57"/>
    </w:pPr>
  </w:style>
  <w:style w:type="paragraph" w:styleId="925">
    <w:name w:val="toc 8"/>
    <w:basedOn w:val="750"/>
    <w:unhideWhenUsed/>
    <w:pPr>
      <w:ind w:left="1984"/>
      <w:spacing w:after="57"/>
    </w:pPr>
  </w:style>
  <w:style w:type="paragraph" w:styleId="926">
    <w:name w:val="toc 9"/>
    <w:basedOn w:val="750"/>
    <w:unhideWhenUsed/>
    <w:pPr>
      <w:ind w:left="2268"/>
      <w:spacing w:after="57"/>
    </w:pPr>
  </w:style>
  <w:style w:type="paragraph" w:styleId="927">
    <w:name w:val="TOC Heading"/>
    <w:unhideWhenUsed/>
    <w:rPr>
      <w:sz w:val="24"/>
    </w:rPr>
  </w:style>
  <w:style w:type="paragraph" w:styleId="928">
    <w:name w:val="table of figures"/>
    <w:basedOn w:val="750"/>
    <w:unhideWhenUsed/>
  </w:style>
  <w:style w:type="paragraph" w:styleId="929" w:customStyle="1">
    <w:name w:val="ConsPlusNonformat"/>
    <w:rPr>
      <w:rFonts w:ascii="CourierNew" w:hAnsi="CourierNew" w:eastAsia="CourierNew" w:cs="CourierNew"/>
      <w:sz w:val="22"/>
    </w:rPr>
  </w:style>
  <w:style w:type="character" w:styleId="930">
    <w:name w:val="page number"/>
    <w:rPr>
      <w:rFonts w:ascii="Calibri" w:hAnsi="Calibri" w:eastAsia="Calibri" w:cs="Calibri"/>
      <w:sz w:val="24"/>
    </w:rPr>
  </w:style>
  <w:style w:type="paragraph" w:styleId="931">
    <w:name w:val="Header"/>
    <w:basedOn w:val="750"/>
    <w:pPr>
      <w:tabs>
        <w:tab w:val="center" w:pos="4677" w:leader="none"/>
        <w:tab w:val="right" w:pos="9355" w:leader="none"/>
      </w:tabs>
    </w:pPr>
  </w:style>
  <w:style w:type="character" w:styleId="932" w:customStyle="1">
    <w:name w:val="Верхний колонтитул Знак"/>
    <w:rPr>
      <w:rFonts w:ascii="TimesNewRoman" w:hAnsi="TimesNewRoman" w:eastAsia="TimesNewRoman" w:cs="TimesNewRoman"/>
      <w:sz w:val="24"/>
    </w:rPr>
  </w:style>
  <w:style w:type="paragraph" w:styleId="933" w:customStyle="1">
    <w:name w:val="ConsPlusNormal"/>
    <w:qFormat/>
    <w:pPr>
      <w:ind w:firstLine="720"/>
    </w:pPr>
    <w:rPr>
      <w:rFonts w:ascii="Arial" w:hAnsi="Arial" w:eastAsia="Arial" w:cs="Arial"/>
    </w:rPr>
  </w:style>
  <w:style w:type="paragraph" w:styleId="934">
    <w:name w:val="Body Text"/>
    <w:basedOn w:val="750"/>
    <w:pPr>
      <w:spacing w:after="120"/>
    </w:pPr>
    <w:rPr>
      <w:sz w:val="28"/>
    </w:rPr>
  </w:style>
  <w:style w:type="character" w:styleId="935" w:customStyle="1">
    <w:name w:val="Основной текст Знак"/>
    <w:rPr>
      <w:rFonts w:ascii="TimesNewRoman" w:hAnsi="TimesNewRoman" w:eastAsia="TimesNewRoman" w:cs="TimesNewRoman"/>
      <w:sz w:val="28"/>
    </w:rPr>
  </w:style>
  <w:style w:type="character" w:styleId="936">
    <w:name w:val="Hyperlink"/>
    <w:rPr>
      <w:rFonts w:ascii="Calibri" w:hAnsi="Calibri" w:eastAsia="Calibri" w:cs="Calibri"/>
      <w:color w:val="0000ff"/>
      <w:sz w:val="24"/>
      <w:u w:val="single"/>
    </w:rPr>
  </w:style>
  <w:style w:type="paragraph" w:styleId="937">
    <w:name w:val="Body Text 2"/>
    <w:basedOn w:val="750"/>
    <w:pPr>
      <w:spacing w:after="120" w:line="480" w:lineRule="auto"/>
    </w:pPr>
  </w:style>
  <w:style w:type="character" w:styleId="938" w:customStyle="1">
    <w:name w:val="Основной текст 2 Знак"/>
    <w:rPr>
      <w:rFonts w:ascii="TimesNewRoman" w:hAnsi="TimesNewRoman" w:eastAsia="TimesNewRoman" w:cs="TimesNewRoman"/>
      <w:sz w:val="24"/>
    </w:rPr>
  </w:style>
  <w:style w:type="character" w:styleId="939" w:customStyle="1">
    <w:name w:val="ConsPlusNonformat Знак"/>
    <w:rPr>
      <w:rFonts w:ascii="CourierNew" w:hAnsi="CourierNew" w:eastAsia="CourierNew" w:cs="CourierNew"/>
      <w:sz w:val="20"/>
    </w:rPr>
  </w:style>
  <w:style w:type="character" w:styleId="940" w:customStyle="1">
    <w:name w:val="Гипертекстовая ссылка"/>
    <w:rPr>
      <w:rFonts w:ascii="Calibri" w:hAnsi="Calibri" w:eastAsia="Calibri" w:cs="Calibri"/>
      <w:b/>
      <w:color w:val="106bbe"/>
      <w:sz w:val="24"/>
    </w:rPr>
  </w:style>
  <w:style w:type="paragraph" w:styleId="941" w:customStyle="1">
    <w:name w:val="formattext"/>
    <w:basedOn w:val="750"/>
    <w:pPr>
      <w:spacing w:before="100" w:beforeAutospacing="1" w:after="100" w:afterAutospacing="1"/>
    </w:pPr>
  </w:style>
  <w:style w:type="character" w:styleId="942" w:customStyle="1">
    <w:name w:val="ConsPlusNormal Знак"/>
    <w:rPr>
      <w:rFonts w:ascii="Arial" w:hAnsi="Arial" w:eastAsia="Arial" w:cs="Arial"/>
      <w:sz w:val="20"/>
    </w:rPr>
  </w:style>
  <w:style w:type="paragraph" w:styleId="943">
    <w:name w:val="Balloon Text"/>
    <w:basedOn w:val="750"/>
    <w:semiHidden/>
    <w:unhideWhenUsed/>
    <w:rPr>
      <w:rFonts w:ascii="Tahoma" w:hAnsi="Tahoma" w:eastAsia="Tahoma" w:cs="Tahoma"/>
      <w:sz w:val="16"/>
    </w:rPr>
  </w:style>
  <w:style w:type="character" w:styleId="944" w:customStyle="1">
    <w:name w:val="Текст выноски Знак"/>
    <w:semiHidden/>
    <w:rPr>
      <w:rFonts w:ascii="Tahoma" w:hAnsi="Tahoma" w:eastAsia="Tahoma" w:cs="Tahoma"/>
      <w:sz w:val="16"/>
    </w:rPr>
  </w:style>
  <w:style w:type="paragraph" w:styleId="945">
    <w:name w:val="List Paragraph"/>
    <w:basedOn w:val="750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10</cp:revision>
  <dcterms:created xsi:type="dcterms:W3CDTF">2025-10-13T02:57:00Z</dcterms:created>
  <dcterms:modified xsi:type="dcterms:W3CDTF">2025-12-09T08:34:32Z</dcterms:modified>
</cp:coreProperties>
</file>