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</w:t>
      </w:r>
      <w:r>
        <w:rPr>
          <w:bCs/>
        </w:rPr>
        <w:t xml:space="preserve">3</w:t>
      </w:r>
      <w:r>
        <w:rPr>
          <w:bCs/>
        </w:rPr>
        <w:t xml:space="preserve">-20</w:t>
      </w:r>
      <w:r>
        <w:rPr>
          <w:bCs/>
        </w:rPr>
        <w:t xml:space="preserve">2</w:t>
      </w:r>
      <w:r>
        <w:rPr>
          <w:bCs/>
        </w:rPr>
        <w:t xml:space="preserve">5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</w:t>
      </w:r>
      <w:r>
        <w:rPr>
          <w:bCs/>
        </w:rPr>
        <w:t xml:space="preserve">11 августа</w:t>
      </w:r>
      <w:r>
        <w:rPr>
          <w:bCs/>
        </w:rPr>
        <w:t xml:space="preserve"> 20</w:t>
      </w:r>
      <w:r>
        <w:rPr>
          <w:bCs/>
        </w:rPr>
        <w:t xml:space="preserve">2</w:t>
      </w:r>
      <w:r>
        <w:rPr>
          <w:bCs/>
        </w:rPr>
        <w:t xml:space="preserve">2</w:t>
      </w:r>
      <w:r>
        <w:rPr>
          <w:bCs/>
        </w:rPr>
        <w:t xml:space="preserve"> года </w:t>
      </w:r>
      <w:r>
        <w:rPr>
          <w:bCs/>
        </w:rPr>
        <w:t xml:space="preserve">№ </w:t>
      </w:r>
      <w:r>
        <w:rPr>
          <w:bCs/>
        </w:rPr>
        <w:t xml:space="preserve">348</w:t>
      </w:r>
      <w:r>
        <w:rPr>
          <w:bCs/>
        </w:rPr>
        <w:t xml:space="preserve"> (с изменениями, внесенными постановлени</w:t>
      </w:r>
      <w:r>
        <w:rPr>
          <w:bCs/>
        </w:rPr>
        <w:t xml:space="preserve">ями</w:t>
      </w:r>
      <w:r>
        <w:rPr>
          <w:bCs/>
        </w:rPr>
        <w:t xml:space="preserve"> Правительства Забайкальского края от 1 марта 2023 года № 91</w:t>
      </w:r>
      <w:r>
        <w:rPr>
          <w:bCs/>
        </w:rPr>
        <w:t xml:space="preserve">, от 23 июня 2023 года № 315</w:t>
      </w:r>
      <w:r>
        <w:rPr>
          <w:bCs/>
        </w:rPr>
        <w:t xml:space="preserve">, от 2 ноября 2023 года № 590</w:t>
      </w:r>
      <w:r>
        <w:rPr>
          <w:bCs/>
        </w:rPr>
        <w:t xml:space="preserve">, от 22 декабря 2023 года № 708</w:t>
      </w:r>
      <w:r>
        <w:rPr>
          <w:bCs/>
        </w:rPr>
        <w:t xml:space="preserve">, от 8 мая 2024 года № 227, от 30 июля 2024 года № 375, от 1 ноября 2024 года № 553, от 24 декабря 2024 года № 677, от 8 апреля 2025 года № 175, от 27 июня 2025 года № 343, от 6 августа 2025 года № 428, от 30 сентября № 533</w:t>
      </w:r>
      <w:r>
        <w:rPr>
          <w:bCs/>
        </w:rPr>
        <w:t xml:space="preserve">)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Первый заместитель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Б.Б.Батомункуев</w:t>
      </w:r>
      <w:r>
        <w:t xml:space="preserve">                        </w:t>
      </w:r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11 августа</w:t>
      </w:r>
      <w:r>
        <w:rPr>
          <w:b/>
          <w:bCs/>
        </w:rPr>
        <w:t xml:space="preserve"> 20</w:t>
      </w:r>
      <w:r>
        <w:rPr>
          <w:b/>
          <w:bCs/>
        </w:rPr>
        <w:t xml:space="preserve">2</w:t>
      </w:r>
      <w:r>
        <w:rPr>
          <w:b/>
          <w:bCs/>
        </w:rPr>
        <w:t xml:space="preserve">2</w:t>
      </w:r>
      <w:r>
        <w:rPr>
          <w:b/>
          <w:bCs/>
        </w:rPr>
        <w:t xml:space="preserve"> года № </w:t>
      </w:r>
      <w:r>
        <w:rPr>
          <w:b/>
          <w:bCs/>
        </w:rPr>
        <w:t xml:space="preserve">348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</w:t>
      </w:r>
      <w:r>
        <w:t xml:space="preserve">3</w:t>
      </w:r>
      <w:r>
        <w:t xml:space="preserve">-20</w:t>
      </w:r>
      <w:r>
        <w:t xml:space="preserve">2</w:t>
      </w:r>
      <w:r>
        <w:t xml:space="preserve">5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26</cp:revision>
  <dcterms:created xsi:type="dcterms:W3CDTF">2020-07-21T02:29:00Z</dcterms:created>
  <dcterms:modified xsi:type="dcterms:W3CDTF">2025-12-12T09:20:41Z</dcterms:modified>
  <cp:version>1048576</cp:version>
</cp:coreProperties>
</file>