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1905" t="0" r="0" b="635"/>
                <wp:docPr id="1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800100" cy="88900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8001,889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7994;height:8896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spacing w:val="-14"/>
          <w:highlight w:val="none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spacing w:val="-14"/>
          <w:highlight w:val="none"/>
        </w:rPr>
      </w:r>
      <w:r>
        <w:rPr>
          <w:spacing w:val="-14"/>
          <w:highlight w:val="none"/>
        </w:rPr>
      </w:r>
    </w:p>
    <w:p>
      <w:pPr>
        <w:jc w:val="center"/>
        <w:shd w:val="clear" w:color="auto" w:fill="ffffff"/>
        <w:rPr>
          <w:spacing w:val="-14"/>
          <w:sz w:val="35"/>
          <w:szCs w:val="35"/>
        </w:rPr>
      </w:pPr>
      <w:r>
        <w:rPr>
          <w:bCs/>
          <w:spacing w:val="-14"/>
          <w:sz w:val="35"/>
          <w:szCs w:val="35"/>
          <w:highlight w:val="none"/>
        </w:rPr>
      </w:r>
      <w:r>
        <w:rPr>
          <w:spacing w:val="-14"/>
          <w:sz w:val="35"/>
          <w:szCs w:val="35"/>
        </w:rPr>
      </w:r>
      <w:r>
        <w:rPr>
          <w:spacing w:val="-14"/>
          <w:sz w:val="35"/>
          <w:szCs w:val="35"/>
        </w:rPr>
      </w:r>
    </w:p>
    <w:p>
      <w:pPr>
        <w:jc w:val="both"/>
        <w:shd w:val="clear" w:color="auto" w:fill="ffffff"/>
        <w:rPr>
          <w:highlight w:val="none"/>
        </w:rPr>
      </w:pPr>
      <w:r>
        <w:rPr>
          <w:bCs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pacing w:before="0" w:beforeAutospacing="0"/>
        <w:shd w:val="clear" w:color="auto" w:fill="ffffff"/>
        <w:rPr>
          <w:b/>
          <w:spacing w:val="-11"/>
          <w:sz w:val="28"/>
          <w:szCs w:val="28"/>
        </w:rPr>
      </w:pPr>
      <w:r>
        <w:rPr>
          <w:b/>
          <w:spacing w:val="-11"/>
          <w:sz w:val="33"/>
          <w:szCs w:val="33"/>
        </w:rPr>
      </w:r>
      <w:r>
        <w:rPr>
          <w:b/>
          <w:spacing w:val="-11"/>
          <w:sz w:val="28"/>
          <w:szCs w:val="28"/>
        </w:rPr>
      </w:r>
      <w:r>
        <w:rPr>
          <w:b/>
          <w:spacing w:val="-11"/>
          <w:sz w:val="28"/>
          <w:szCs w:val="28"/>
        </w:rPr>
      </w:r>
    </w:p>
    <w:p>
      <w:pPr>
        <w:pStyle w:val="901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Правительства Забайкальского края от 29 октября 2021 года № 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«О региональном государственном контроле (надзоре) за приемом на работу инвалидов в пределах установленной квоты на территории Забайкальского края»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Style w:val="901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4"/>
        <w:ind w:left="500" w:right="520"/>
        <w:jc w:val="center"/>
        <w:spacing w:before="0"/>
        <w:shd w:val="clear" w:color="auto" w:fill="auto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contextualSpacing w:val="0"/>
        <w:ind w:firstLine="709"/>
        <w:jc w:val="both"/>
        <w:rPr>
          <w:rFonts w:cs="Arial"/>
          <w:color w:val="auto"/>
          <w:spacing w:val="57"/>
        </w:rPr>
        <w:suppressLineNumbers w:val="0"/>
      </w:pPr>
      <w:r>
        <w:rPr>
          <w:rFonts w:cs="Arial"/>
          <w:color w:val="auto"/>
          <w:lang w:eastAsia="en-US"/>
        </w:rPr>
        <w:t xml:space="preserve">Правительство Забайкальского края </w:t>
      </w:r>
      <w:r>
        <w:rPr>
          <w:rFonts w:cs="Arial"/>
          <w:b/>
          <w:color w:val="auto"/>
          <w:spacing w:val="57"/>
          <w:lang w:eastAsia="en-US"/>
        </w:rPr>
        <w:t xml:space="preserve">постановляет</w:t>
      </w:r>
      <w:r>
        <w:rPr>
          <w:rFonts w:cs="Arial"/>
          <w:color w:val="auto"/>
          <w:spacing w:val="57"/>
          <w:lang w:eastAsia="en-US"/>
        </w:rPr>
        <w:t xml:space="preserve">:</w:t>
      </w:r>
      <w:r>
        <w:rPr>
          <w:rFonts w:cs="Arial"/>
          <w:color w:val="auto"/>
          <w:spacing w:val="57"/>
        </w:rPr>
      </w:r>
      <w:r>
        <w:rPr>
          <w:rFonts w:cs="Arial"/>
          <w:color w:val="auto"/>
          <w:spacing w:val="57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8"/>
        <w:jc w:val="both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Утвердить прилагаемые изменения, которые в</w:t>
      </w:r>
      <w:r>
        <w:t xml:space="preserve">носятся в постановление Правительства Забайкальского края от 29 октября 2021 года № 426 «О региональном государственном контроле (надзоре) за приемом на работу инвалидов в пределах установленной квоты на территории Забайкальского края» (с изменениями, внес</w:t>
      </w:r>
      <w:r>
        <w:t xml:space="preserve">енными постановлениями Правительства Забайкальского края от 29 декабря 2022 года № 687, от 10 августа 2023 года № 430, от 3 апреля 2024 года № 168, от 11 сентября 2024 года № 456, от 5 июня 2025 года № 284)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rPr>
          <w:rFonts w:cs="Arial"/>
          <w:color w:val="auto"/>
          <w:lang w:eastAsia="en-US"/>
          <w14:ligatures w14:val="none"/>
        </w:rPr>
      </w:pPr>
      <w:r>
        <w:rPr>
          <w:rFonts w:cs="Arial"/>
          <w:color w:val="auto"/>
          <w:lang w:eastAsia="en-US"/>
          <w14:ligatures w14:val="none"/>
        </w:rPr>
      </w:r>
      <w:r>
        <w:rPr>
          <w:rFonts w:cs="Arial"/>
          <w:color w:val="auto"/>
          <w:lang w:eastAsia="en-US"/>
          <w14:ligatures w14:val="none"/>
        </w:rPr>
      </w:r>
      <w:r>
        <w:rPr>
          <w:rFonts w:cs="Arial"/>
          <w:color w:val="auto"/>
          <w:lang w:eastAsia="en-US"/>
          <w14:ligatures w14:val="none"/>
        </w:rPr>
      </w:r>
    </w:p>
    <w:p>
      <w:pPr>
        <w:ind w:firstLine="709"/>
        <w:jc w:val="both"/>
        <w:rPr>
          <w:rFonts w:cs="Arial"/>
          <w:color w:val="auto"/>
          <w:lang w:eastAsia="en-US"/>
          <w14:ligatures w14:val="none"/>
        </w:rPr>
      </w:pPr>
      <w:r>
        <w:rPr>
          <w:rFonts w:cs="Arial"/>
          <w:color w:val="auto"/>
          <w:lang w:eastAsia="en-US"/>
          <w14:ligatures w14:val="none"/>
        </w:rPr>
      </w:r>
      <w:r>
        <w:rPr>
          <w:rFonts w:cs="Arial"/>
          <w:color w:val="auto"/>
          <w:lang w:eastAsia="en-US"/>
          <w14:ligatures w14:val="none"/>
        </w:rPr>
      </w:r>
      <w:r>
        <w:rPr>
          <w:rFonts w:cs="Arial"/>
          <w:color w:val="auto"/>
          <w:lang w:eastAsia="en-US"/>
          <w14:ligatures w14:val="none"/>
        </w:rPr>
      </w:r>
    </w:p>
    <w:p>
      <w:pPr>
        <w:ind w:firstLine="709"/>
        <w:jc w:val="both"/>
        <w:rPr>
          <w:rFonts w:cs="Arial"/>
          <w:color w:val="auto"/>
          <w:lang w:eastAsia="en-US"/>
          <w14:ligatures w14:val="none"/>
        </w:rPr>
      </w:pPr>
      <w:r>
        <w:rPr>
          <w:rFonts w:cs="Arial"/>
          <w:color w:val="auto"/>
          <w:lang w:eastAsia="en-US"/>
        </w:rPr>
      </w:r>
      <w:r>
        <w:rPr>
          <w:rFonts w:cs="Arial"/>
          <w:color w:val="auto"/>
          <w:lang w:eastAsia="en-US"/>
          <w14:ligatures w14:val="none"/>
        </w:rPr>
      </w:r>
      <w:r>
        <w:rPr>
          <w:rFonts w:cs="Arial"/>
          <w:color w:val="auto"/>
          <w:lang w:eastAsia="en-US"/>
          <w14:ligatures w14:val="none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Первый заместитель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1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Забайкальского края                                                                  Б.Б.Батомункуев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757"/>
        <w:tblW w:w="0" w:type="auto"/>
        <w:tblInd w:w="4217" w:type="dxa"/>
        <w:tblLayout w:type="fixed"/>
        <w:tblLook w:val="04A0" w:firstRow="1" w:lastRow="0" w:firstColumn="1" w:lastColumn="0" w:noHBand="0" w:noVBand="1"/>
      </w:tblPr>
      <w:tblGrid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ind w:left="0" w:right="0" w:firstLine="709"/>
              <w:jc w:val="center"/>
              <w:spacing w:before="0" w:beforeAutospacing="0" w:after="0" w:afterAutospacing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/>
              </w:rPr>
              <w:t xml:space="preserve">УТВЕРЖДЕНЫ</w:t>
            </w:r>
            <w:r/>
          </w:p>
          <w:p>
            <w:pPr>
              <w:ind w:left="0" w:right="0" w:firstLine="709"/>
              <w:jc w:val="center"/>
              <w:spacing w:before="0" w:beforeAutospacing="0" w:after="0" w:afterAutospacing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постановлением Правительства</w:t>
            </w:r>
            <w:r/>
          </w:p>
          <w:p>
            <w:pPr>
              <w:ind w:left="0" w:right="0" w:firstLine="709"/>
              <w:jc w:val="center"/>
              <w:spacing w:before="0" w:beforeAutospacing="0" w:after="0" w:afterAutospacing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Забайкальского края</w:t>
            </w:r>
            <w:r/>
          </w:p>
        </w:tc>
      </w:tr>
    </w:tbl>
    <w:p>
      <w:pPr>
        <w:ind w:left="0" w:right="0" w:firstLine="709"/>
        <w:jc w:val="right"/>
        <w:spacing w:before="0" w:beforeAutospacing="0" w:after="0" w:afterAutospacing="0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right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beforeAutospacing="0" w:after="0" w:afterAutospacing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b/>
          <w:bCs/>
        </w:rPr>
        <w:t xml:space="preserve">ИЗМЕНЕНИЯ, 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center"/>
        <w:spacing w:before="0" w:beforeAutospacing="0" w:after="0" w:afterAutospacing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</w:rPr>
      </w:r>
      <w:r>
        <w:rPr>
          <w:b/>
          <w:bCs/>
        </w:rPr>
        <w:t xml:space="preserve">которые в</w:t>
      </w:r>
      <w:r>
        <w:rPr>
          <w:b/>
          <w:bCs/>
        </w:rPr>
        <w:t xml:space="preserve">носятся в постановление Правительства Забайкальского края от 29 октября 2021 года № 426 «О региональном государственном контроле (надзоре) за приемом на работу инвалидов в пределах установленной квоты на территории Забайкальского края»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42"/>
        <w:numPr>
          <w:ilvl w:val="0"/>
          <w:numId w:val="11"/>
        </w:numPr>
        <w:ind w:left="0" w:right="0" w:firstLine="709"/>
        <w:jc w:val="both"/>
        <w:spacing w:before="0" w:beforeAutospacing="0" w:after="0" w:afterAutospacing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  <w:t xml:space="preserve">Положение о региональном государственном контроле (надзоре) за приемом на работу инвалидов в пределах установленной квоты на территории Забайкальского края, </w:t>
      </w:r>
      <w:r>
        <w:rPr>
          <w:highlight w:val="none"/>
        </w:rPr>
        <w:t xml:space="preserve">утвержденное указанным постановлением,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0"/>
        <w:jc w:val="both"/>
        <w:spacing w:before="0" w:beforeAutospacing="0" w:after="0" w:afterAutospacing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  <w:t xml:space="preserve">«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left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tbl>
      <w:tblPr>
        <w:tblStyle w:val="757"/>
        <w:tblW w:w="0" w:type="auto"/>
        <w:tblInd w:w="4075" w:type="dxa"/>
        <w:tblLayout w:type="fixed"/>
        <w:tblLook w:val="04A0" w:firstRow="1" w:lastRow="0" w:firstColumn="1" w:lastColumn="0" w:noHBand="0" w:noVBand="1"/>
      </w:tblPr>
      <w:tblGrid>
        <w:gridCol w:w="53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3" w:type="dxa"/>
            <w:textDirection w:val="lrTb"/>
            <w:noWrap w:val="false"/>
          </w:tcPr>
          <w:p>
            <w:pPr>
              <w:ind w:left="0" w:right="0" w:firstLine="709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/>
              </w:rPr>
              <w:t xml:space="preserve">УТВЕРЖДЕНЫ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</w:r>
          </w:p>
          <w:p>
            <w:pPr>
              <w:ind w:left="0" w:right="0" w:firstLine="709"/>
              <w:jc w:val="center"/>
              <w:spacing w:before="0" w:beforeAutospacing="0" w:after="0" w:afterAutospacing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постановлением Правительства</w:t>
            </w:r>
            <w:r/>
          </w:p>
          <w:p>
            <w:pPr>
              <w:ind w:left="0" w:right="0" w:firstLine="709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709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highlight w:val="none"/>
              </w:rPr>
              <w:t xml:space="preserve">от 29 октября 2021 года № 426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709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highlight w:val="none"/>
              </w:rPr>
              <w:t xml:space="preserve">(в редакции постановления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709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highlight w:val="none"/>
              </w:rPr>
              <w:t xml:space="preserve">Правительства Забайкальского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709"/>
              <w:jc w:val="center"/>
              <w:spacing w:before="0" w:beforeAutospacing="0" w:after="0" w:afterAutospacing="0"/>
              <w:rPr>
                <w:b w:val="0"/>
                <w:bCs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highlight w:val="none"/>
              </w:rPr>
              <w:t xml:space="preserve">                                                       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ind w:left="0" w:right="0"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ПОЛОЖЕНИЕ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регион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альном государственном контроле (надзоре) за приемом на работу инвалидов в пределах установленной квоты на территории Забайкальского края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ind w:left="0" w:right="0" w:firstLine="0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Общие положения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Настоящее Положение устанавливает порядок организации и осуществления регионального государственного контроля (надзора) за приемом на работу инвалидов в пределах установленной квоты на территории Забайкальского края (далее - контроль).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Предметом контроля является соблюдение работодателями обязательных требований в области квотирования рабочих мест, установленных нормативными правовыми актами Российской Федерации и нормативными правовыми актами Забайкальского края (далее - обязательные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требования).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осуществляется Департаментом труда и занятости Забайкальского края (далее - Департамент).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Организация и осуществление контроля регулируются Федеральным </w:t>
      </w:r>
      <w:r>
        <w:rPr>
          <w:rFonts w:ascii="Times New Roman" w:hAnsi="Times New Roman" w:eastAsia="Times New Roman" w:cs="Times New Roman"/>
          <w:sz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от 31 июля 2020 года № 248-ФЗ «О государственном контроле (надзоре) и муниципальном контроле в Российской Федерации (далее - Федеральный закон № 248-ФЗ)».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Понятия и термины, используемые в настоящем Положении, применяются в том же значении, что и в федеральном законодательстве, устанавливающем значение этих понятий и терминов.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Должностными лицами Департамента, уполномоченными на осуществление контроля, являются государственные гражданские служащие ведущей группы должностей категории «руководители» и старшей группы должностей категории «специалисты», в должностные обязанности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которых в соответствии с должностными регламентами входит осуществление контроля (далее - должностные лица).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Должностными лицами Департамента, уполномоченными на принятие решений о проведении контрольных (надзорных) мероприятий, являются руководитель Департамента труда и занятости Забайкальского края (далее - руководитель) либо заместитель руководителя.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 Должностные лица при проведении контрольных (надзорных) мероприятий в пределах своих полномочий и в объеме проведенных надзорных действий пользуются правами и выполняют обязанности, установленные </w:t>
      </w:r>
      <w:r>
        <w:rPr>
          <w:rFonts w:ascii="Times New Roman" w:hAnsi="Times New Roman" w:eastAsia="Times New Roman" w:cs="Times New Roman"/>
          <w:sz w:val="28"/>
        </w:rPr>
        <w:t xml:space="preserve">статьей 29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248-ФЗ, а также соблюдают ограничения и запреты, установленные </w:t>
      </w:r>
      <w:r>
        <w:rPr>
          <w:rFonts w:ascii="Times New Roman" w:hAnsi="Times New Roman" w:eastAsia="Times New Roman" w:cs="Times New Roman"/>
          <w:sz w:val="28"/>
        </w:rPr>
        <w:t xml:space="preserve">статьей 37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8. Объектами контроля являются деятельность, действия (бездействие) работодателей - юридических лиц независимо от организационно-правовой формы и формы собственности и индивидуальных предпринимателей, расположенных на территории Забайкальского края, числен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ность работников которых составляет не менее чем 35 человек (далее - контролируемые лица), в рамках которых должны соблюдаться обязательные требования (далее - объект контроля).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9. Учет объектов контроля осуществляется с использованием: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государственной информационной системы «Типовое облачное решение по автоматизации контрольной (надзорной) деятельности»;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получения сведений в порядке межведомственного информационного взаимодействия.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сборе, обработке, анализе и учете сведений об объектах контроля для целей их учета используется информация, представляемая в соответствии с нормативными правовыми актами, информация, получаемая в рамках межведомственного взаимодействия, а также общедос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тупная информация.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дарственных или муниципальных информационных ресурсах.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11. Департамент обеспечивает учет объектов контроля посредством ведения перечня (далее - перечень), который подлежит размещению на официальном сайте Департамента в информационно-телекоммуникационной сети «Интернет» (далее - сеть «Интернет»).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12. Перечень содержит следующую информацию: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полное наименование юридического лица или фамилия, имя и отчество (при наличии) индивидуального предпринимателя, которому присвоена категория риска;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основной государственный регистрационный номер;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идентификационный номер налогоплательщика;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место нахождения и место осуществления деятельности контролируемого лица;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дата и номер решения о присвоении объекту контроля категории риска, указание на категорию риска, а также сведения, на основании которых было принято решение об отнесении объекта контроля к категории риска.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13. Организация и осуществление государственного контроля (надзора) на территории Забайкальского края в отношении резидентов территории опережающего развития осуществляется в соответствии с требованиями Федерального </w:t>
      </w:r>
      <w:r>
        <w:rPr>
          <w:rFonts w:ascii="Times New Roman" w:hAnsi="Times New Roman" w:eastAsia="Times New Roman" w:cs="Times New Roman"/>
          <w:sz w:val="28"/>
        </w:rPr>
        <w:t xml:space="preserve">закона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от 29 декабря 2014 года № 473-ФЗ «О территориях опережающего развития в Российской Федерации».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709"/>
        <w:jc w:val="center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Управление рисками причинения вреда (ущерба) охраняемым законом ценностям при осуществлении контроля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14.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результаты.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15. Департамент для целей управления рисками причинения вреда (ущерба) при осуществлении контроля относит объекты контроля к одной из следующих категорий риска причинения вреда (ущерба) (далее - категории риска):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средний риск;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умеренный риск;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низкий риск.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16. Критерием отнесения объектов контроля к категориям риска 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а также с учетом добросовестности контролируемых лиц является наличие выявленных в ходе контрольных (надзорных) мероприятий нарушений обязательных требований в году, предшествующем установлению (далее - критерии риска).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17. К категории среднего риска относятся объекты контроля, если контролируемое лицо осуществляет деятельность в области занятости населения и квотирование рабочих мест для приема на работу инвалидов, численность работников которых превышает 100 человек.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18. К категории умеренного риска относятся объекты контроля, если контролируемое лицо осуществляет деятельность в области занятости населения и квотирование рабочих мест для приема на работу инвалидов, численность работников которых составляет не менее 35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человек и не более чем 100 человек.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19. К категории низкого риска относятся объекты контроля, если контролируемое лицо осуществляет деятельность в области занятости населения и квотирование рабочих мест для приема на работу инвалидов, численность работников которых составляет менее 35 челове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20. Департаментом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21. Департамент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22. В случае если объект контроля не отнесен Департаментом к определенной категории риска, он считается отнесенным к категории низкого риска.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вправе подать в Департамент заявление об изменении категории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24. Контролируемые лица пользуются правами и выполняют обязанности, возникающие в связи с организацией и осуществлением контроля, которые установлены Федеральным </w:t>
      </w:r>
      <w:r>
        <w:rPr>
          <w:rFonts w:ascii="Times New Roman" w:hAnsi="Times New Roman" w:eastAsia="Times New Roman" w:cs="Times New Roman"/>
          <w:sz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№ 248-ФЗ.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709"/>
        <w:jc w:val="center"/>
        <w:spacing w:before="0" w:beforeAutospacing="0" w:after="0" w:afterAutospacing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Профилактика рисков причинения вреда (ущерба) охраняемым законом ценностям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center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25. Департаментом ежегодно с учетом категорий риска, к которым отнесены объекты контроля, не позднее 20 декабря предшествующего года утверждается программа профилактики рисков причинения вреда (ущерба) охраняемым законом ценностям в соответствии со </w:t>
      </w:r>
      <w:r>
        <w:rPr>
          <w:rFonts w:ascii="Times New Roman" w:hAnsi="Times New Roman" w:eastAsia="Times New Roman" w:cs="Times New Roman"/>
          <w:sz w:val="28"/>
        </w:rPr>
        <w:t xml:space="preserve">статьей 44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248-ФЗ, которая размещается на официальном сайте Департамента в сети «Интернет» в течение 5 рабочих дней со дня ее утверждения.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26. Департамент в рамках осуществления контроля проводит следующие профилактические мероприятия: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информирование;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обобщение правоприменительной практики;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объявление предостережения;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консультирование;</w:t>
      </w:r>
      <w:r/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профилактический визит.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27. Профилактические мероприятия, предусмотренные программой профилактики рисков причинения вреда (ущерба) охраняемым законом ценностям, обязательны для проведения Департаментом.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Департаментом также могут проводиться профилактические мероприятия, не предусмотренные программой профилактики рисков причинения вреда (ущерба) охраняемым законом ценностям.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проводившее профилактиче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ское мероприятие, незамедлительно направляет информацию об этом руководителю либо заместителю руководителя для принятия решения о проведении контрольных (надзорных) мероприятий.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28. Департаментом осуществляется информирование посредством размещения сведений, предусмотренных </w:t>
      </w:r>
      <w:r>
        <w:rPr>
          <w:rFonts w:ascii="Times New Roman" w:hAnsi="Times New Roman" w:eastAsia="Times New Roman" w:cs="Times New Roman"/>
          <w:sz w:val="28"/>
        </w:rPr>
        <w:t xml:space="preserve">частью 3 статьи 46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248-ФЗ, на официальном сайте Департамента в сети «Интернет»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z w:val="28"/>
          <w:highlight w:val="none"/>
          <w:lang w:val="en-US"/>
        </w:rPr>
        <w:t xml:space="preserve">zabzan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.ru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 средствах массовой информации и в иных формах.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29. Обобщение правоприменительной практики проводится Департаментом в соответствии со </w:t>
      </w:r>
      <w:r>
        <w:rPr>
          <w:rFonts w:ascii="Times New Roman" w:hAnsi="Times New Roman" w:eastAsia="Times New Roman" w:cs="Times New Roman"/>
          <w:sz w:val="28"/>
        </w:rPr>
        <w:t xml:space="preserve">статьей 47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 путем сбора и анализа данных о проведенных контрольных (надзорных) мероприятиях и их результатов, а также поступивших в Департамент обращений.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итогам обобщения правоприменительной практики не позднее 10 февраля года, следующего за отчетным, Департаментом 1 раз в год готовится доклад, содержащий результаты обобщения правоприменительной практики по осуществлению контроля (далее - доклад), которы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в обязательном порядке проходит публичные обсуждения, к участию в которых в качестве мер стимулирования добросовестного соблюдения обязательных требований приглашаются контролируемые лица.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Доклад утверждается не позднее 25 февраля года, следующего за отчетным, руководителем либо заместителем руководителя и размещается в срок до 1 марта текущего года на официальном сайте Департамента в сети «Интернет».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30. 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рб) охраняемым законом ценностям либо создало угрозу причинения вреда (ущерба) охраняемым законом ценностям, Департамент объявляет контролируемому лицу предостережение о недопустимости нарушения обязательных требований (далее - предостережение) и предлагае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 принять меры по обеспечению соблюдения обязательных требований в соответствии со </w:t>
      </w:r>
      <w:r>
        <w:rPr>
          <w:rFonts w:ascii="Times New Roman" w:hAnsi="Times New Roman" w:eastAsia="Times New Roman" w:cs="Times New Roman"/>
          <w:sz w:val="28"/>
        </w:rPr>
        <w:t xml:space="preserve">статьей 49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31. Контролируемое лицо вправе не позднее 30 календарных дней со дня получения предостережения подать в Департамент возражение в отношении указанного предостережения (далее - возражение). Возражение направляется контролируемым лицом в бумажном виде почтовы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отправлением в Департамент, либо в виде электронного документа на указанный в предостережении адрес электронной почты Департамента, либо иными указанными в предостережении способами.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возражении указываются: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наименование контролируемого лица;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идентификационный номер налогоплательщика;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дата и номер направленного предостережения;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Возражение направляется контролируемым лицом в бумажном виде почтовым отправлением в Департамент, либо в виде электронного документа на указанный в предостережении адрес электронной почты Департамента, либо иными указанными в предостережении способами.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32. Департамент рассматривает возражение и по итогам рассмотрения направляет ответ контролируемому лицу в течение 20 рабочих дней со дня получения возражения.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33. Департамент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(надзорных) мероприятий.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34. Консультирование контролируемых лиц и их представителей осуществляется должностным лицом по обращениям контролируемых лиц и их представителей, в том числе поступившим с использованием единого портала, по следующим вопросам: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контроля;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разъяснение положений нормативных правовых актов, регламентирующих порядок осуществления контроля;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порядок обжалования действий или бездействия должностных лиц Департамента.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35. Консультирование осуществляется без взимания платы.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Консультирование может осуществляться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Время консультирования не должно превышать 15 минут.</w:t>
      </w:r>
      <w:r/>
    </w:p>
    <w:p>
      <w:pPr>
        <w:ind w:left="0" w:right="0" w:firstLine="709"/>
        <w:jc w:val="both"/>
        <w:spacing w:before="0" w:beforeAutospacing="0" w:after="0" w:afterAutospacing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36.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Должностное лицо осуществляет письменное консультирование по вопросам, предусмотренным 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пунктом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 34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настоящего Положения.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итогам консультирования информация в письменной форме контролируемым лицам и их представителям предоставляется в случае консультирования на основании обращений контролируемых лиц и их представителей, поступивших в письменной форме или в форме электронно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 документа.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Ответы на письменные обращения предоставляются в сроки, установленные Федеральным </w:t>
      </w:r>
      <w:r>
        <w:rPr>
          <w:rFonts w:ascii="Times New Roman" w:hAnsi="Times New Roman" w:eastAsia="Times New Roman" w:cs="Times New Roman"/>
          <w:sz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от 2 мая 2006 года № 59-ФЗ «О порядке рассмотрения обращений граждан Российской Федерации».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Если поставленные во время консультирования вопросы не относятся к осуществляемому Департаментом виду контроля, контролируемому лицу даются необходимые разъяснения по обращению в соответствующие органы государственной власти или к соответствующим должностн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ым лицам.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Департамента, иных участников контрольного (надзорного) мероприятия.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Информация, ставшая известной должностному лицу Департамента в ходе консультирования, не может использоваться Департаментом в целях оценки контролируемого лица по вопросам соблюдения обязательных требований.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Департамент осуществляет учет консультирований, который проводится посредством внесения соответствующей записи в журнал консультирования.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Департам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ента письменного разъяснения, подписанного руководителем, без указания в таком разъяснении сведений, отнесенных к категории ограниченного доступа.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37.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 в соответствии со </w:t>
      </w:r>
      <w:r>
        <w:rPr>
          <w:rFonts w:ascii="Times New Roman" w:hAnsi="Times New Roman" w:eastAsia="Times New Roman" w:cs="Times New Roman"/>
          <w:sz w:val="28"/>
        </w:rPr>
        <w:t xml:space="preserve">статьей 52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соответствия критериям риска, основаниях и о рекомендуемых способах снижения кате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гории риска, а также о видах, содержании и об интенсивности контрольных (надзорных) мероприятий, проводимых в отношении объекта контроля исходя из отнесения его к соответствующей категории риска, а должностное лицо осуществляет ознакомление с объектом конт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роля и проводит оценку уровня соблюдения контролируемым лицом обязательных требований.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38. Профилактический визит проводится по инициативе Департамента (обязательный профилактический визит) или по инициативе контролируемого лица.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39. Обязательный профилактический визит проводится в соответствии со </w:t>
      </w:r>
      <w:r>
        <w:rPr>
          <w:rFonts w:ascii="Times New Roman" w:hAnsi="Times New Roman" w:eastAsia="Times New Roman" w:cs="Times New Roman"/>
          <w:sz w:val="28"/>
        </w:rPr>
        <w:t xml:space="preserve">статьей 52.1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Профилактический визит по инициативе контролируемого лица проводится в соответствии со </w:t>
      </w:r>
      <w:r>
        <w:rPr>
          <w:rFonts w:ascii="Times New Roman" w:hAnsi="Times New Roman" w:eastAsia="Times New Roman" w:cs="Times New Roman"/>
          <w:sz w:val="28"/>
        </w:rPr>
        <w:t xml:space="preserve">статьей 52.2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709"/>
        <w:jc w:val="center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Осуществление контроля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40. Контроль осуществляется посредством проведения следующих контрольных (надзорных) мероприятий: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документарная проверка;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выездная проверка.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41.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проведения контрольного (надзорного) мероприятия, предусматривающего взаимодействие с контролируемым лицом, а также документарной проверки Департаментом принимается решение о проведении контрольного (надзорного) мероприятия, подписанное руководителем.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42. В решении о проведении контрольного (надзорного) мероприятия указываются сведения, установленные </w:t>
      </w:r>
      <w:r>
        <w:rPr>
          <w:rFonts w:ascii="Times New Roman" w:hAnsi="Times New Roman" w:eastAsia="Times New Roman" w:cs="Times New Roman"/>
          <w:sz w:val="28"/>
        </w:rPr>
        <w:t xml:space="preserve">частью 1 статьи 64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248-ФЗ, а также содержится перечень нормативных правовых актов, содержащих обязательные требования, соблюдение которых оценивается при осуществлении контроля.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43. Плановые контрольные (надзорные) мероприятия проводятся Департаментом на основании ежегодного плана проведения плановых контрольных (надзорных) мероприятий, формируемого Департаментом и подлежащего согласованию с органами прокуратуры.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44.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</w:t>
      </w:r>
      <w:r>
        <w:rPr>
          <w:rFonts w:ascii="Times New Roman" w:hAnsi="Times New Roman" w:eastAsia="Times New Roman" w:cs="Times New Roman"/>
          <w:sz w:val="28"/>
        </w:rPr>
        <w:t xml:space="preserve">пунктами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hyperlink r:id="rId12" w:tooltip="https://login.consultant.ru/link/?req=doc&amp;base=LAW&amp;n=499669&amp;dst=101410" w:history="1">
        <w:r>
          <w:rPr>
            <w:rStyle w:val="883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- </w:t>
      </w:r>
      <w:hyperlink r:id="rId13" w:tooltip="https://login.consultant.ru/link/?req=doc&amp;base=LAW&amp;n=499669&amp;dst=100638" w:history="1">
        <w:r>
          <w:rPr>
            <w:rStyle w:val="883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5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sz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sz w:val="28"/>
        </w:rPr>
        <w:t xml:space="preserve">9 части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</w:rPr>
        <w:t xml:space="preserve">частью 3 статьи 57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45. Документарная проверка проводится по месту нахождения Департамента в порядке, установленном </w:t>
      </w:r>
      <w:r>
        <w:rPr>
          <w:rFonts w:ascii="Times New Roman" w:hAnsi="Times New Roman" w:eastAsia="Times New Roman" w:cs="Times New Roman"/>
          <w:sz w:val="28"/>
        </w:rPr>
        <w:t xml:space="preserve">статьей 72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Контролируемое лицо уведомляется о начале проверки не позднее 1 месяца до ее начала. Уведомление может быть направлено контролируемому лицу любым доступным способом (факсом, на адрес электронной почты, заказным письмом, почтовым отправлением, иными способа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ми).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ходе документарной проверки должностными лицами Департамента осуществляются следующие контрольные (надзорные) действия: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получение письменных объяснений;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истребование документов.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проведении документарной проверки Департамент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Департаментом от иных органов.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проведения документарной проверки не может превышать 10 рабочих дней.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если достоверность сведений, содержащихся в документах, имеющихся в распоряжении Департамента, вызывает обоснованные сомнения либо эти сведения не позволяют оценить исполнение контролируемым лицом обязательных требований, Департамент направляет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Департамент указанные в требо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вании документы.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46. Выездная проверка проводится в порядке, установленном </w:t>
      </w:r>
      <w:r>
        <w:rPr>
          <w:rFonts w:ascii="Times New Roman" w:hAnsi="Times New Roman" w:eastAsia="Times New Roman" w:cs="Times New Roman"/>
          <w:sz w:val="28"/>
        </w:rPr>
        <w:t xml:space="preserve">статьей 73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 по месту нахождения (осуществления деятельности) контролируемого лица (его филиалов, представительств, обособленных подразделений) либо объекта контроля в случае, если не предоставляется возможным: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удостовериться в полноте и достоверности сведений, которые содержатся в находящихся в распоряжении Департамента или запрашиваемых им документах и объяснениях контролируемого лица;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 нахождения (осуществления деятельности) контролируемого лица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(его филиалов, представительств, обособленных структурных подразделений) либо объекта контроля и совершения необходимых контрольных (надзорных) действий, предусмотренных в рамках иного вида контрольных (надзорных) мероприятий.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ходе выездной проверки должностными лицами Департамента совершаются следующие контрольные (надзорные) действия: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получение письменных объяснений;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истребование документов;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осмотр;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опрос.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проведения выездной проверки не может превышать 10 рабочих дней.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ения которой является </w:t>
      </w:r>
      <w:r>
        <w:rPr>
          <w:rFonts w:ascii="Times New Roman" w:hAnsi="Times New Roman" w:eastAsia="Times New Roman" w:cs="Times New Roman"/>
          <w:sz w:val="28"/>
        </w:rPr>
        <w:t xml:space="preserve">пункт 6 части 1 статьи 57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 и которая для микропредприятия не может продолжаться более 40 часов.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47. В случае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должностное лицо составляет акт о невозможности проведения контрольного (надзорного) меропри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усмотренном </w:t>
      </w:r>
      <w:r>
        <w:rPr>
          <w:rFonts w:ascii="Times New Roman" w:hAnsi="Times New Roman" w:eastAsia="Times New Roman" w:cs="Times New Roman"/>
          <w:sz w:val="28"/>
        </w:rPr>
        <w:t xml:space="preserve">частями 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</w:rPr>
        <w:t xml:space="preserve">5 статьи 21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этом случае должностное лицо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мероприятия, предусматривающего взаимодействие с кон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тролируемым лицом, а также вправе не позднее 3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контрольного (надзорного) мероприятия бе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предварительного уведомления контролируемого лица и без согласования с органами прокуратуры.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48. При проведении контрольных (надзорных) мероприятий и совершении контрольных (надзорных)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 исключением проведения контрольных (надзорных) мероприятий, совершения контрольных (надзорных) действий, не требующих взаимодействия с контролируемым лицом.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49. В случаях отсутствия контролируемого лица либо его представителя, предоставления контролируемым лицом информации контрольному (надзорному) органу о невозможности присутствия при проведении контрольного (надзорного) мероприятия контрольные (надзорные)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ероприятия проводятся, контрольные (надзорные) действия совершаются, если оценка соблюдения обязательных требований при проведении контрольного (надзорного) мероприятия может быть проведена без присутствия контролируемого лица, а контролируемое лицо было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адлежащим образом уведомлено о проведении контрольного (надзорного) мероприятия.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50. Индивидуальный предприниматель, являющийся контролируемым лицом, вправе представить в Департамент информацию о невозможности присутствия при проведении контрольного (надзорного) мероприятия в случае: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нетрудоспособности;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участия в осуществлении правосудия в качестве присяжного или арбитражного заседателя;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вызова в органы дознания, предварительного следствия, прокуратуры, суд или налоговый орган в качестве свидетеля, потерпевшего, эксперта, специалиста, переводчика или понятого;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пожара, аварии систем водоснабжения, отопления и чрезвычайных, непредотвратимых обстоятельств, препятствующих явке гражданина в Департамент;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противоправных действий третьих лиц, препятствующих явке гражданина в Департамент;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смерти близких родственников.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Информация о невозможности присутствия при проведении контрольного (надзорного) мероприятия направляется индивидуальным предпринимателем в Департамент с подтверждающими документами любым доступным способом (факсом, на адрес электронной почты, заказным пись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мом, почтовым отправлением и т.п.).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51. При предоставлении индивидуальным предпринимателем, являющимся контролируемым лицом, информации, указанной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пу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нкте 50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настоящего Положения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 невозможности присутствия при проведении контрольного (надзорного) мероприятия, контрольное (надзорное) мероприятие переносится Департаментом на срок, необходимый для устранения обстоятельств, послуживших поводом обращения контроли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руемого лица в Департамент.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709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bidi="ru-RU"/>
        </w:rPr>
        <w:t xml:space="preserve">Результаты контрольного (надзорного) мероприятия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52. По окончании проведения контрольного (надзорного) мероприятия, предусматривающего взаимодействие с контролируемым лицом, должностным лицом составляется акт контрольного (надзорного) мероприятия (далее - акт). В случае если по результатам проведения так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53.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твами нарушения обязательных требований, должны быть приобщены к акту.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54. Оформление акта производится на месте проведения контрольного (надзорного) мероприятия в день окончания проведения такого мероприятия.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55. Акт, составленный по итогам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ормления.</w:t>
      </w:r>
      <w:r/>
    </w:p>
    <w:p>
      <w:pPr>
        <w:ind w:left="0" w:right="0" w:firstLine="709"/>
        <w:jc w:val="both"/>
        <w:spacing w:before="0" w:beforeAutospacing="0" w:after="0" w:afterAutospacing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56. В случае несогласия с фактами и выводами, изложенными в акте, контролируемое лицо вправе направить жалобу в порядке, предусмотренном </w:t>
      </w:r>
      <w:r>
        <w:rPr>
          <w:rFonts w:ascii="Times New Roman" w:hAnsi="Times New Roman" w:eastAsia="Times New Roman" w:cs="Times New Roman"/>
          <w:sz w:val="28"/>
        </w:rPr>
        <w:t xml:space="preserve">разде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лом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 6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настоящего Положения.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57. В случаях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мероприятий, в соответствии с </w:t>
      </w:r>
      <w:r>
        <w:rPr>
          <w:rFonts w:ascii="Times New Roman" w:hAnsi="Times New Roman" w:eastAsia="Times New Roman" w:cs="Times New Roman"/>
          <w:sz w:val="28"/>
        </w:rPr>
        <w:t xml:space="preserve">Правилами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года № 604.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58.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59. По истечении срока исполнения контролируемым лицом решения, принятого в соответствии с </w:t>
      </w:r>
      <w:r>
        <w:rPr>
          <w:rFonts w:ascii="Times New Roman" w:hAnsi="Times New Roman" w:eastAsia="Times New Roman" w:cs="Times New Roman"/>
          <w:sz w:val="28"/>
        </w:rPr>
        <w:t xml:space="preserve">пунктом 1 части 2 статьи 90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в случае получения информации в рамках наблюдения за соблюдением обяз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ательных требований (мониторинга безопасности) Департамент оценивает исполнение решения на основании представленных документов и сведений, полученной информации. Если указанные документы и сведения контролируемым лицом не представлены или на их основании 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Департамент оценивает исполнение указанного решения путем проведения одного из ко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нтрольных (надзорных) мероприятий, предусмотренных </w:t>
      </w:r>
      <w:r>
        <w:rPr>
          <w:rFonts w:ascii="Times New Roman" w:hAnsi="Times New Roman" w:eastAsia="Times New Roman" w:cs="Times New Roman"/>
          <w:sz w:val="28"/>
        </w:rPr>
        <w:t xml:space="preserve">пунктами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- </w:t>
      </w:r>
      <w:r>
        <w:rPr>
          <w:rFonts w:ascii="Times New Roman" w:hAnsi="Times New Roman" w:eastAsia="Times New Roman" w:cs="Times New Roman"/>
          <w:sz w:val="28"/>
        </w:rPr>
        <w:t xml:space="preserve">6 части 2 статьи 56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248-ФЗ. В случае если проводится оценка исполнения решения, принятого по итогам выездной проверки, допускается проведение выездной проверки.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если по итогам проведения контрольного (надзорного) мероприятия, предусмотренного </w:t>
      </w:r>
      <w:r>
        <w:rPr>
          <w:rFonts w:ascii="Times New Roman" w:hAnsi="Times New Roman" w:eastAsia="Times New Roman" w:cs="Times New Roman"/>
          <w:sz w:val="28"/>
        </w:rPr>
        <w:t xml:space="preserve">частью 1 статьи 95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248-ФЗ, Департаментом будет установлено, что решение не исполнено или исполнено ненадлежащим образом, Департамент вновь выдает контролируемому лицу решение, предусмотренное </w:t>
      </w:r>
      <w:r>
        <w:rPr>
          <w:rFonts w:ascii="Times New Roman" w:hAnsi="Times New Roman" w:eastAsia="Times New Roman" w:cs="Times New Roman"/>
          <w:sz w:val="28"/>
        </w:rPr>
        <w:t xml:space="preserve">пунктом 1 части 2 статьи 90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248-ФЗ, с указанием новых сроков его исполнения. При неисполнении предписания в установленные сроки Департамент принимает меры по обеспечению его исполнения вплоть до обращения в суд.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Информация об исполнении решения Департамента в полном объеме вносится в единый реестр контрольных (надзорных) мероприятий.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60. Оценка результативности и эффективности деятельности Департамента в части осуществления контроля осуществляется в соответствии со </w:t>
      </w:r>
      <w:r>
        <w:rPr>
          <w:rFonts w:ascii="Times New Roman" w:hAnsi="Times New Roman" w:eastAsia="Times New Roman" w:cs="Times New Roman"/>
          <w:sz w:val="28"/>
        </w:rPr>
        <w:t xml:space="preserve">статьей 30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 на основе ключевых показателей контроля и их целевых значений, индикативных показателей контроля, утвержденных настоящим постановлением.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709"/>
        <w:jc w:val="center"/>
        <w:spacing w:before="0" w:beforeAutospacing="0" w:after="0" w:afterAutospacing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bidi="ru-RU"/>
        </w:rPr>
        <w:t xml:space="preserve">Обжалование решений Департамента, действий (бездействия) его должностных лиц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61. Контролируемые лица, права и законные интересы которых, по их мнению, были непосредственно нарушены в рамках осуществления контроля, имеют право на досудебное обжалование: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решений о проведении контрольных (надзорных) мероприятий и обязательных профилактических визитов;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актов контрольных (надзорных) мероприятий и обязательных профилактических визитов, предписаний об устранении выявленных нарушений;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действий (бездействия) должностных лиц Департамента в рамках контрольных (надзорных) мероприятий и обязательных профилактических визитов;</w:t>
      </w:r>
      <w:r/>
    </w:p>
    <w:p>
      <w:pPr>
        <w:ind w:left="0" w:right="0" w:firstLine="709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решений об отнесении объектов контроля к соответствующей категории риска;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5) решений об отказе в проведении обязательных профилактических визитов по заявлениям контролируемых лиц;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6) иных решений, принимаемых Департаментом по итогам профилактических и (или) контрольных (надзорных) мероприятий, предусмотренных настоящим Положением, в отношении контролируемых лиц или объектов контроля.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62. Судебное обжалование решений Департамента,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ельской деятельности.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63. Жалоба на решения Департамента, действия (бездействие) его должностных лиц подается в порядке и по форме, предусмотренным </w:t>
      </w:r>
      <w:r>
        <w:rPr>
          <w:rFonts w:ascii="Times New Roman" w:hAnsi="Times New Roman" w:eastAsia="Times New Roman" w:cs="Times New Roman"/>
          <w:sz w:val="28"/>
        </w:rPr>
        <w:t xml:space="preserve">статьями 40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</w:rPr>
        <w:t xml:space="preserve">41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Федерального закона № 248-ФЗ, контролируемым лицом в Департамент в электронном виде с использованием единого портала и (или) через региональный портал государственных и муниципальных услуг.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и (или) регионального портала государственных и муниципальных услуг в соответствии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65 -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67 настоящего П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ложения, с учетом требований законодательства Российской Федерации о государственной и иной охраняемой законом тайне.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юридическим лицом она должна быть подписана усиленной квалифицированной электронной подписью.</w:t>
      </w:r>
      <w:r/>
    </w:p>
    <w:p>
      <w:pPr>
        <w:ind w:left="0" w:right="0" w:firstLine="709"/>
        <w:jc w:val="both"/>
        <w:spacing w:before="0" w:beforeAutospacing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64. Жалоба на решение Департамента, действия (бездействие) его должностных лиц рассматривается руководителем либо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заме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стителем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руководителя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Жалоба на действия (бездействие) заместителя руководителя рассматривается руководителем.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Жало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ба на действия (бездействие) руководителя рассматривается Правительством Забайкальского края. По поручению Губернатора Забайкальского края жалоба может быть рассмотрена заместителем председателя Правительства Забайкальского края, который несет персональную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ответственность по вопросам, входящим в компетенцию Департамента.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65. Жалоба на решение Департамента,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66. Жалоба на предписание Департамента может быть подана в течение 10 рабочих дней со дня получения контролируемым лицом предписания.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67. В случае пропуска по уважительной причине срока подачи жалобы этот срок по ходатайству лица, подающего жалобу, может быть восстановлен Департаментом.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Жалоба может содержать ходатайство о приостановлении исполнения обжалуемого решения Департамента.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68. Департамент в срок не позднее 2 рабочих дней со дня регистрации жалобы принимает решение: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 приостановлении исполнения обжалуемого решения Департамента;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об отказе в приостановлении исполнения обжалуемого решения Департамента.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Информация о решении, указанном в настоящем пункте, направляется лицу, подавшему жалобу, в течение 1 рабочего со дня принятия решения.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69. Департамент принимает решение об отказе в рассмотрении жалобы в течение 5 рабочих дней со дня получения жалобы, если: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жалоба подана после истечения срока подачи жалобы, установленного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56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-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58 настоящего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Положения,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не содержит ходатайства о восстановлении пропущенного срока на подачу жалобы;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 удовлетворении ходатайства о восстановлении пропущенного срока на подачу жалобы отказано;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до принятия решения по жалобе от контролируемого лица, ее подавшего, поступило заявление об отзыве жалобы;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имеется решение суда по вопросам, поставленным в жалобе;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ранее в Департамент была подана другая жалоба от того же контролируемого лица по тем же основаниям;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жалоба содержит нецензурные либо оскорбительные выражения, угрозы жизни, здоровью и имуществу должностных лиц Департамента, а также членов их семей;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вопросы, содержащиеся в жалобе, не относятся к компетенции Департамента;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законодательством Российской Федерации предусмотрен только судебный порядок обжалования решений Департамента.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70. Жалоба подлежит рассмотрению Департаментом в течение 15 рабочих дней со дня ее регистрации в информационной системе (подсистеме государственной информационной системы) досудебного обжалования.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в срок не более 5 рабочих дней.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Департамент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рабочих дней с момента направле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ния запроса. Течение срока рассмотрения жалобы приостанавливается с момента направления запроса о представлении дополнительных документов и информации, относящихся к предмету жалобы, до момента получения их Департаментом, но не более чем на 5 рабочих дней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 момента направления запроса. Неполучение от контролируемого лица дополнительных документов и информации, относящихся к предмету жалобы, не является основанием для отказа в рассмотрении жалобы.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 допускается запрашивать у контролируемого лица, подавшего жалобу, документы и информацию, которые находятся в распоряжении государственных органов, органов местного самоуправления либо подведомственных им организаций.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  <w:r/>
    </w:p>
    <w:p>
      <w:pPr>
        <w:ind w:left="0" w:right="0" w:firstLine="709"/>
        <w:jc w:val="both"/>
        <w:spacing w:before="0" w:beforeAutospacing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71. По итогам рассмотрения жалобы должностное лицо, указанное в 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пункте 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64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настоящего Положения: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оставляет жалобу без удовлетворения;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отменяет решение полностью или частично;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отменяет решение полностью и принимает новое решение;</w:t>
      </w:r>
      <w:r/>
    </w:p>
    <w:p>
      <w:pPr>
        <w:ind w:left="0" w:right="0" w:firstLine="709"/>
        <w:jc w:val="both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признает действия (бездействие) должностных лиц Департамента незаконными и выносит решение по существу, в том числе об осуществлении при необходимости определенных действий.</w:t>
      </w:r>
      <w:r/>
    </w:p>
    <w:p>
      <w:pPr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Решение, указанное в настоящем пункте, содержащее обоснование принятого решения, срок и порядок его исполнения, размещается в личном кабинете контролируемого лица на едином портале и (или) региональном портале государственных и муниципальных услуг в срок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 позднее 1 рабочего дня со дня его принятия.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before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____________________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jc w:val="right"/>
        <w:widowControl w:val="off"/>
      </w:pPr>
      <w:r>
        <w:t xml:space="preserve">».</w:t>
      </w:r>
      <w:r/>
    </w:p>
    <w:p>
      <w:pPr>
        <w:ind w:left="0" w:right="0" w:firstLine="708"/>
        <w:jc w:val="both"/>
        <w:spacing w:before="0" w:beforeAutospacing="0" w:after="0" w:afterAutospacing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  <w:t xml:space="preserve">2. Внести в ключевые показатели регионального государственного </w:t>
      </w:r>
      <w:r>
        <w:rPr>
          <w:highlight w:val="none"/>
        </w:rPr>
        <w:t xml:space="preserve">контроля (надзора) за приемом на работу инвалидов в пределах установленной квоты на территории Забайкальского края, </w:t>
      </w:r>
      <w:r>
        <w:rPr>
          <w:highlight w:val="none"/>
        </w:rPr>
        <w:t xml:space="preserve">утвержденные указанным постановлением, следующие изменения:</w:t>
      </w:r>
      <w:r/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а) 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строке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2.1: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в графе 4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Министерства труда и социальной защиты населения Забайкальского края (далее - Министерство)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» заменить словами «Департамента труда и занятости Забайкальского края (далее – Департамент)»;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в графе 5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слово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Министерства» заменить словом «Департамента»;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б)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строке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3.3: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в графе 3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слово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Министерства» заменить словом «Департамента»;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в графе 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слова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Министерства» заменить словами «Департамента».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widowControl w:val="off"/>
      </w:pPr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jc w:val="center"/>
        <w:widowControl w:val="off"/>
      </w:pPr>
      <w:r>
        <w:t xml:space="preserve">____________________</w:t>
      </w:r>
      <w:r/>
    </w:p>
    <w:p>
      <w:pPr>
        <w:jc w:val="both"/>
        <w:widowControl w:val="off"/>
      </w:pPr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276" w:right="566" w:bottom="1134" w:left="212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39789446"/>
      <w:docPartObj>
        <w:docPartGallery w:val="Page Numbers (Top of Page)"/>
        <w:docPartUnique w:val="true"/>
      </w:docPartObj>
      <w:rPr/>
    </w:sdtPr>
    <w:sdtContent>
      <w:p>
        <w:pPr>
          <w:pStyle w:val="90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Arial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705">
    <w:name w:val="Heading 1"/>
    <w:basedOn w:val="704"/>
    <w:next w:val="704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rPr>
      <w:sz w:val="48"/>
      <w:szCs w:val="48"/>
    </w:rPr>
  </w:style>
  <w:style w:type="character" w:styleId="727" w:customStyle="1">
    <w:name w:val="Subtitle Char"/>
    <w:basedOn w:val="714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character" w:styleId="730" w:customStyle="1">
    <w:name w:val="Caption Char"/>
    <w:uiPriority w:val="99"/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04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spacing w:after="0" w:line="240" w:lineRule="auto"/>
    </w:pPr>
  </w:style>
  <w:style w:type="paragraph" w:styleId="744">
    <w:name w:val="Title"/>
    <w:basedOn w:val="704"/>
    <w:next w:val="704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Название Знак"/>
    <w:basedOn w:val="714"/>
    <w:link w:val="744"/>
    <w:uiPriority w:val="10"/>
    <w:rPr>
      <w:sz w:val="48"/>
      <w:szCs w:val="48"/>
    </w:rPr>
  </w:style>
  <w:style w:type="paragraph" w:styleId="746">
    <w:name w:val="Subtitle"/>
    <w:basedOn w:val="704"/>
    <w:next w:val="704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basedOn w:val="714"/>
    <w:link w:val="746"/>
    <w:uiPriority w:val="11"/>
    <w:rPr>
      <w:sz w:val="24"/>
      <w:szCs w:val="24"/>
    </w:rPr>
  </w:style>
  <w:style w:type="paragraph" w:styleId="748">
    <w:name w:val="Quote"/>
    <w:basedOn w:val="704"/>
    <w:next w:val="704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4"/>
    <w:next w:val="704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14"/>
    <w:uiPriority w:val="99"/>
  </w:style>
  <w:style w:type="paragraph" w:styleId="753">
    <w:name w:val="Footer"/>
    <w:basedOn w:val="704"/>
    <w:link w:val="75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basedOn w:val="714"/>
    <w:uiPriority w:val="99"/>
  </w:style>
  <w:style w:type="paragraph" w:styleId="755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8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 w:customStyle="1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 w:customStyle="1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 w:customStyle="1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 w:customStyle="1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 w:customStyle="1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paragraph" w:styleId="884">
    <w:name w:val="footnote text"/>
    <w:basedOn w:val="704"/>
    <w:link w:val="885"/>
    <w:uiPriority w:val="99"/>
    <w:semiHidden/>
    <w:unhideWhenUsed/>
    <w:pPr>
      <w:spacing w:after="40"/>
    </w:pPr>
    <w:rPr>
      <w:sz w:val="18"/>
    </w:rPr>
  </w:style>
  <w:style w:type="character" w:styleId="885" w:customStyle="1">
    <w:name w:val="Текст сноски Знак"/>
    <w:link w:val="884"/>
    <w:uiPriority w:val="99"/>
    <w:rPr>
      <w:sz w:val="18"/>
    </w:rPr>
  </w:style>
  <w:style w:type="character" w:styleId="886">
    <w:name w:val="footnote reference"/>
    <w:basedOn w:val="714"/>
    <w:uiPriority w:val="99"/>
    <w:unhideWhenUsed/>
    <w:rPr>
      <w:vertAlign w:val="superscript"/>
    </w:rPr>
  </w:style>
  <w:style w:type="paragraph" w:styleId="887">
    <w:name w:val="endnote text"/>
    <w:basedOn w:val="704"/>
    <w:link w:val="888"/>
    <w:uiPriority w:val="99"/>
    <w:semiHidden/>
    <w:unhideWhenUsed/>
    <w:rPr>
      <w:sz w:val="20"/>
    </w:rPr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14"/>
    <w:uiPriority w:val="99"/>
    <w:semiHidden/>
    <w:unhideWhenUsed/>
    <w:rPr>
      <w:vertAlign w:val="superscript"/>
    </w:rPr>
  </w:style>
  <w:style w:type="paragraph" w:styleId="890">
    <w:name w:val="toc 1"/>
    <w:basedOn w:val="704"/>
    <w:next w:val="704"/>
    <w:uiPriority w:val="39"/>
    <w:unhideWhenUsed/>
    <w:pPr>
      <w:spacing w:after="57"/>
    </w:pPr>
  </w:style>
  <w:style w:type="paragraph" w:styleId="891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92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93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94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95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6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7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8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04"/>
    <w:next w:val="704"/>
    <w:uiPriority w:val="99"/>
    <w:unhideWhenUsed/>
  </w:style>
  <w:style w:type="paragraph" w:styleId="901" w:customStyle="1">
    <w:name w:val="ConsPlusNormal"/>
    <w:link w:val="902"/>
    <w:qFormat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character" w:styleId="902" w:customStyle="1">
    <w:name w:val="ConsPlusNormal Знак"/>
    <w:link w:val="901"/>
    <w:rPr>
      <w:rFonts w:ascii="Calibri" w:hAnsi="Calibri" w:eastAsia="Times New Roman" w:cs="Calibri"/>
      <w:lang w:eastAsia="ru-RU"/>
    </w:rPr>
  </w:style>
  <w:style w:type="character" w:styleId="903" w:customStyle="1">
    <w:name w:val="Основной текст (5)_"/>
    <w:basedOn w:val="714"/>
    <w:link w:val="904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04" w:customStyle="1">
    <w:name w:val="Основной текст (5)"/>
    <w:basedOn w:val="704"/>
    <w:link w:val="903"/>
    <w:pPr>
      <w:jc w:val="both"/>
      <w:spacing w:before="480" w:line="322" w:lineRule="exact"/>
      <w:shd w:val="clear" w:color="auto" w:fill="ffffff"/>
      <w:widowControl w:val="off"/>
    </w:pPr>
    <w:rPr>
      <w:b/>
      <w:bCs/>
      <w:color w:val="auto"/>
      <w:lang w:eastAsia="en-US"/>
    </w:rPr>
  </w:style>
  <w:style w:type="paragraph" w:styleId="905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06">
    <w:name w:val="Header"/>
    <w:basedOn w:val="704"/>
    <w:link w:val="9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7" w:customStyle="1">
    <w:name w:val="Верхний колонтитул Знак"/>
    <w:basedOn w:val="714"/>
    <w:link w:val="906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08">
    <w:name w:val="Balloon Text"/>
    <w:basedOn w:val="704"/>
    <w:link w:val="909"/>
    <w:uiPriority w:val="99"/>
    <w:semiHidden/>
    <w:unhideWhenUsed/>
    <w:rPr>
      <w:rFonts w:ascii="Tahoma" w:hAnsi="Tahoma" w:cs="Tahoma"/>
      <w:sz w:val="16"/>
      <w:szCs w:val="16"/>
    </w:rPr>
  </w:style>
  <w:style w:type="character" w:styleId="909" w:customStyle="1">
    <w:name w:val="Текст выноски Знак"/>
    <w:basedOn w:val="714"/>
    <w:link w:val="908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9669&amp;dst=101410" TargetMode="External"/><Relationship Id="rId13" Type="http://schemas.openxmlformats.org/officeDocument/2006/relationships/hyperlink" Target="https://login.consultant.ru/link/?req=doc&amp;base=LAW&amp;n=499669&amp;dst=10063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FD15-8AF3-4BC1-9C4E-E9EDB8B3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revision>20</cp:revision>
  <dcterms:created xsi:type="dcterms:W3CDTF">2025-04-02T00:07:00Z</dcterms:created>
  <dcterms:modified xsi:type="dcterms:W3CDTF">2025-12-16T08:23:52Z</dcterms:modified>
</cp:coreProperties>
</file>