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047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800047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00pt;height:69.54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871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spacing w:val="-14"/>
          <w:sz w:val="6"/>
          <w:szCs w:val="6"/>
        </w:rPr>
      </w:pPr>
      <w:r>
        <w:rPr>
          <w:bCs/>
          <w:spacing w:val="-6"/>
          <w:sz w:val="35"/>
          <w:szCs w:val="35"/>
          <w:highlight w:val="none"/>
        </w:rPr>
      </w:r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spacing w:val="-6"/>
          <w:sz w:val="35"/>
          <w:szCs w:val="35"/>
          <w:highlight w:val="none"/>
        </w:rPr>
      </w:pPr>
      <w:r>
        <w:rPr>
          <w:bCs/>
          <w:spacing w:val="-6"/>
          <w:sz w:val="35"/>
          <w:szCs w:val="35"/>
          <w:highlight w:val="none"/>
        </w:rPr>
      </w:r>
      <w:r>
        <w:rPr>
          <w:spacing w:val="-6"/>
          <w:sz w:val="35"/>
          <w:szCs w:val="35"/>
          <w:highlight w:val="none"/>
        </w:rPr>
      </w:r>
      <w:r>
        <w:rPr>
          <w:spacing w:val="-6"/>
          <w:sz w:val="35"/>
          <w:szCs w:val="35"/>
          <w:highlight w:val="none"/>
        </w:rPr>
      </w:r>
    </w:p>
    <w:p>
      <w:pPr>
        <w:pStyle w:val="871"/>
        <w:jc w:val="center"/>
        <w:shd w:val="clear" w:color="auto" w:fill="ffffff"/>
        <w:rPr>
          <w:spacing w:val="-6"/>
          <w:sz w:val="35"/>
          <w:szCs w:val="35"/>
          <w:highlight w:val="none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spacing w:val="-6"/>
          <w:sz w:val="35"/>
          <w:szCs w:val="35"/>
          <w:highlight w:val="none"/>
        </w:rPr>
      </w:r>
      <w:r>
        <w:rPr>
          <w:spacing w:val="-6"/>
          <w:sz w:val="35"/>
          <w:szCs w:val="35"/>
          <w:highlight w:val="none"/>
        </w:rPr>
      </w:r>
    </w:p>
    <w:p>
      <w:pPr>
        <w:pStyle w:val="871"/>
        <w:jc w:val="center"/>
        <w:rPr>
          <w:spacing w:val="-6"/>
          <w:sz w:val="35"/>
          <w:szCs w:val="35"/>
        </w:rPr>
      </w:pPr>
      <w:r/>
      <w:bookmarkEnd w:id="0"/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</w:p>
    <w:p>
      <w:pPr>
        <w:pStyle w:val="871"/>
        <w:jc w:val="center"/>
        <w:rPr>
          <w:spacing w:val="-6"/>
          <w:sz w:val="35"/>
          <w:szCs w:val="35"/>
        </w:rPr>
      </w:pPr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  <w:r>
        <w:rPr>
          <w:spacing w:val="-6"/>
          <w:sz w:val="35"/>
          <w:szCs w:val="35"/>
        </w:rPr>
      </w:r>
    </w:p>
    <w:p>
      <w:pPr>
        <w:pStyle w:val="871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Порядка и условий </w:t>
      </w:r>
      <w:r>
        <w:rPr>
          <w:b/>
          <w:bCs/>
          <w:sz w:val="28"/>
          <w:szCs w:val="28"/>
        </w:rPr>
        <w:t xml:space="preserve">предоставления</w:t>
      </w:r>
      <w:r>
        <w:rPr>
          <w:b/>
          <w:bCs/>
          <w:sz w:val="28"/>
          <w:szCs w:val="28"/>
        </w:rPr>
        <w:t xml:space="preserve"> меры социальной поддержки</w:t>
      </w:r>
      <w:r>
        <w:rPr>
          <w:b/>
          <w:bCs/>
          <w:sz w:val="28"/>
          <w:szCs w:val="28"/>
        </w:rPr>
        <w:t xml:space="preserve"> в виде транспортировки инвалидов, имеющих ограничение способности к самостоятельному передвижению</w:t>
      </w:r>
      <w:r>
        <w:rPr>
          <w:b/>
          <w:bCs/>
          <w:sz w:val="28"/>
          <w:szCs w:val="28"/>
        </w:rPr>
        <w:t xml:space="preserve">, к месту проведения </w:t>
      </w:r>
      <w:r>
        <w:rPr>
          <w:b/>
          <w:bCs/>
          <w:sz w:val="28"/>
          <w:szCs w:val="28"/>
        </w:rPr>
        <w:t xml:space="preserve">процедуры гемодиализа и обратно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firstLine="708"/>
        <w:jc w:val="both"/>
        <w:widowControl w:val="off"/>
        <w:rPr>
          <w:spacing w:val="4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lang w:val="ru-RU" w:bidi="ru-RU"/>
        </w:rPr>
        <w:t xml:space="preserve">В соответствии с абзацем четвертым части 1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vertAlign w:val="superscript"/>
          <w:lang w:val="ru-RU" w:bidi="ru-RU"/>
        </w:rPr>
        <w:t xml:space="preserve">1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lang w:val="ru-RU" w:bidi="ru-RU"/>
        </w:rPr>
        <w:t xml:space="preserve"> статьи 6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vertAlign w:val="superscript"/>
          <w:lang w:val="ru-RU" w:bidi="ru-RU"/>
        </w:rPr>
        <w:t xml:space="preserve">1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lang w:val="ru-RU" w:bidi="ru-RU"/>
        </w:rPr>
        <w:t xml:space="preserve"> Закона Забайкальского края от 29 мая 2009 года № 181-ЗЗК «О социально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lang w:val="ru-RU" w:bidi="ru-RU"/>
        </w:rPr>
        <w:t xml:space="preserve">й защите инвалидов в Забайкальском крае», в целях 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предоставления социальной поддержки инвалид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ам,</w:t>
      </w:r>
      <w:r>
        <w:rPr>
          <w:rFonts w:ascii="TimesNewRoman" w:hAnsi="TimesNewRoman" w:eastAsia="TimesNewRoman" w:cs="TimesNewRoman"/>
          <w:sz w:val="28"/>
          <w:highlight w:val="white"/>
          <w:lang w:val="en-US"/>
        </w:rPr>
        <w:t xml:space="preserve"> 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страдающи</w:t>
      </w:r>
      <w:r>
        <w:rPr>
          <w:rFonts w:ascii="TimesNewRoman" w:hAnsi="TimesNewRoman" w:eastAsia="TimesNewRoman" w:cs="TimesNewRoman"/>
          <w:sz w:val="28"/>
          <w:szCs w:val="28"/>
          <w:highlight w:val="white"/>
        </w:rPr>
        <w:t xml:space="preserve">м заболеваниями почек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, 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нуждающимся в проведении процедур гемодиализа, </w:t>
      </w:r>
      <w:r>
        <w:rPr>
          <w:rFonts w:ascii="TimesNewRoman" w:hAnsi="TimesNewRoman" w:eastAsia="TimesNewRoman" w:cs="TimesNewRoman"/>
          <w:sz w:val="28"/>
          <w:highlight w:val="white"/>
        </w:rPr>
        <w:t xml:space="preserve">постоянно проживающих на территории Забайкальского края,</w:t>
      </w:r>
      <w:r>
        <w:rPr>
          <w:rFonts w:ascii="TimesNewRoman" w:hAnsi="TimesNewRoman" w:eastAsia="TimesNewRoman" w:cs="TimesNewRoman"/>
          <w:color w:val="000000"/>
          <w:sz w:val="28"/>
          <w:szCs w:val="28"/>
          <w:highlight w:val="white"/>
          <w:lang w:val="ru-RU" w:bidi="ru-RU"/>
        </w:rPr>
        <w:t xml:space="preserve"> Правительство Забайкальского края</w:t>
      </w:r>
      <w:r>
        <w:rPr>
          <w:sz w:val="28"/>
          <w:szCs w:val="28"/>
          <w:highlight w:val="white"/>
        </w:rPr>
        <w:t xml:space="preserve"> </w:t>
      </w:r>
      <w:r>
        <w:rPr>
          <w:b/>
          <w:bCs/>
          <w:spacing w:val="40"/>
          <w:sz w:val="28"/>
          <w:szCs w:val="28"/>
          <w:highlight w:val="white"/>
        </w:rPr>
        <w:t xml:space="preserve">постановляет</w:t>
      </w:r>
      <w:r>
        <w:rPr>
          <w:b/>
          <w:spacing w:val="40"/>
          <w:sz w:val="28"/>
          <w:szCs w:val="28"/>
          <w:highlight w:val="white"/>
        </w:rPr>
        <w:t xml:space="preserve">:</w:t>
      </w:r>
      <w:r>
        <w:rPr>
          <w:spacing w:val="40"/>
          <w:sz w:val="28"/>
          <w:szCs w:val="28"/>
          <w:highlight w:val="white"/>
        </w:rPr>
        <w:t xml:space="preserve"> </w:t>
      </w:r>
      <w:r>
        <w:rPr>
          <w:spacing w:val="40"/>
          <w:sz w:val="28"/>
          <w:szCs w:val="28"/>
          <w:highlight w:val="white"/>
        </w:rPr>
      </w:r>
      <w:r>
        <w:rPr>
          <w:spacing w:val="40"/>
          <w:sz w:val="28"/>
          <w:szCs w:val="28"/>
          <w:highlight w:val="white"/>
        </w:rPr>
      </w:r>
    </w:p>
    <w:p>
      <w:pPr>
        <w:pStyle w:val="879"/>
        <w:ind w:firstLine="708"/>
        <w:jc w:val="both"/>
        <w:tabs>
          <w:tab w:val="left" w:pos="709" w:leader="none"/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9"/>
        <w:numPr>
          <w:ilvl w:val="0"/>
          <w:numId w:val="11"/>
        </w:numPr>
        <w:ind w:left="0" w:right="0" w:firstLine="85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Утвердить прилагаемый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Порядок и условия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предоставления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меры социальной поддержки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виде транспортировки инвалидов, имеющих ограничение способности к самостоятельному передвижению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к месту проведения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процедуры гемодиализа и обратно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val="ru-RU" w:bidi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9"/>
        <w:numPr>
          <w:ilvl w:val="0"/>
          <w:numId w:val="11"/>
        </w:numPr>
        <w:ind w:left="0" w:right="0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Настоящее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вступает в силу с 1 января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left="0" w:right="0" w:firstLine="85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Первый </w:t>
      </w:r>
      <w:r>
        <w:rPr>
          <w:sz w:val="28"/>
          <w:szCs w:val="28"/>
        </w:rPr>
        <w:t xml:space="preserve">заместитель председателя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left="4253"/>
        <w:jc w:val="center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1"/>
        <w:ind w:left="4253"/>
        <w:jc w:val="center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4253"/>
        <w:jc w:val="center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ind w:left="4253"/>
        <w:jc w:val="center"/>
        <w:tabs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rPr>
          <w:b/>
          <w:bCs/>
          <w:sz w:val="28"/>
          <w:szCs w:val="28"/>
        </w:rPr>
      </w:pPr>
      <w:r/>
      <w:bookmarkStart w:id="1" w:name="Par39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 условия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меры социальной поддержки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 виде транспортировки инвалидов, имеющих ограничение способности к самостоятельному передвижению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к месту проведения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процедуры гемодиализа и обратно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 организации транспортировки пациентов, страдающих хронической почечной недостаточностью,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оказания медицинской помощи методом заместительной почечной терапии в медицинскую организацию и обратно (далее - Порядок) определяет условия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на территории Забайкальского края транспортировки в медицинские организации, оказывающие медицинскую помощь методом заместительной почечной терапии (далее - медицинская организация, гемодиализ), и обратно.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2. Организация транспортировки пациентов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получения процедуры гемодиализа и обратно осуществляется руководителями медицинских организаций,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подведомственных Министерству здравоохранения </w:t>
      </w:r>
      <w:r>
        <w:rPr>
          <w:sz w:val="28"/>
          <w:szCs w:val="28"/>
          <w:highlight w:val="none"/>
        </w:rPr>
        <w:t xml:space="preserve">Заба</w:t>
      </w:r>
      <w:r>
        <w:rPr>
          <w:sz w:val="28"/>
          <w:szCs w:val="28"/>
        </w:rPr>
        <w:t xml:space="preserve">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- учреждение, прикрепление к учреждению).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Транспортировка для получения процедуры гемодиализа осуще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ствляется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в отношении инвалидов и детей-инвалидов,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имеющих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ограничение способности к самостоятельному передвижению вследствие стойких нарушений функций зрения и (или) опорно-двигательного аппарата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в соответствии с решением врачебной комиссии учреждения и проживающих на территории населенных пунктов Забайкальского края и в которых имеется медицинская организация.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нспортировка для получения процедуры гемодиализа осуществляется в отношении пациентов, указанных в </w:t>
      </w:r>
      <w:hyperlink r:id="rId11" w:tooltip="https://internet.garant.ru/#/document/411399365/entry/22032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абзаце первом 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настоящего пункта,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не получающих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ежемесячную социальную выплату на оплату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проезда в рас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положенную на территории Забайкальского края медицинскую организацию для получения 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цедуры гемодиализа и обратно в соответствии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с абзацем четвертым части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  <w:lang w:val="ru-RU" w:bidi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 статьи 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superscript"/>
          <w:lang w:val="ru-RU" w:bidi="ru-RU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 Закона Забайкальского края от 29 мая 2009 года № 181-ЗЗК «О социально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val="ru-RU" w:bidi="ru-RU"/>
        </w:rPr>
        <w:t xml:space="preserve">й защите инвалидов в Забайкальском крае»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 целях организации транспортировки в медицинскую организацию для получения процедуры гемодиализа и обратно пациент, один из родителей (законный представитель) пациента (далее - законный представитель) либо уполномоченный представитель пациента (далее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представитель) представляют в учреждение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заявление в произвольной письменной форме об организации учреждением транспортировки пациента в медицинскую организацию для получения процедуры гемодиализа (далее - заявление) с указанием фамилии, имени, отчества (последнее - при наличии) пациента (закон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ного представителя или представителя), даты рождения пациента, контактных данных для оперативного взаимодействия учреждения с пациентом (законным представителем или представителем) (номер телефона, адрес электронной почты) (далее - контактные данные), свед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ений об адресе места регистрации и места фактического проживания пациента;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копия документа, удостоверяющего личность пациента;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копия свидетельства о рождении (в отношении пациентов, не достигших возраста 14 лет);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справка из медицинской организации, в которой пациент получает процедуры гемодиализа, с указанием необходимости проведения процедур гемодиализа, времени начала процедуры гемодиализа и ее окончания и дней недели, когда процедуры гемодиализа проводятся пац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иенту (далее - график процедур гемодиализа);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копия документа, удостоверяющего личность законного представителя (представителя), и копия документа, подтверждающего полномочия законного представителя (представителя) (в случае подачи заявления и документов, указанных в настоящем пункте, законным предс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тавителем (представителем)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Копии документов, указанные в под</w:t>
      </w:r>
      <w:hyperlink r:id="rId12" w:tooltip="https://internet.garant.ru/#/document/411399365/entry/22043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пунктах 2, 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5 настоящего пункта, представ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ляются вместе с оригиналами для проверки представленных копий на соответствие оригиналам либо заверяются в порядке, предусмотренном законодательством Российской Федерации.</w:t>
      </w:r>
      <w:r>
        <w:rPr>
          <w:sz w:val="28"/>
          <w:szCs w:val="28"/>
        </w:rPr>
        <w:t xml:space="preserve"> Ответственность за полноту и достоверность сведений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содержащихся в документах </w:t>
      </w:r>
      <w:r>
        <w:rPr>
          <w:sz w:val="28"/>
          <w:szCs w:val="28"/>
        </w:rPr>
        <w:t xml:space="preserve">указанных в пункте </w:t>
        <w:br/>
        <w:t xml:space="preserve">4 несет заявитель.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 Учреждение в день поступления документов, указанных в </w:t>
      </w:r>
      <w:hyperlink r:id="rId13" w:tooltip="https://internet.garant.ru/#/document/411399365/entry/22004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</w:t>
          <w:br/>
          <w:t xml:space="preserve">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настоящего Порядка, регистрирует их и не позднее двух рабочих дней со дня регистрации рассматривает и принимает решение на врачебной комиссии учреждения об организации транспортировки пациента в медицинскую организацию для получения процедуры гемодиа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лиза и обратно либо об отказе в организации данной транспортировки.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Учреждение в течение двух рабочих дней со дня принятия решения об организации транспортировки пациента в медицинскую организацию для получения процедуры гемодиализа и обратно направляет в Министерство здравоохранения Забайкальского края инфор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мацию о принятом решении с указанием даты начала данной транспортировки.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Основаниями для принятия решения об отказе в организации транспортировки пациента в медицинскую организацию для получения процедуры гемодиализа и обратно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1) представление неполного пакета документов и (или) неполных, недостоверных сведений в них, а также несоответствие документов требованиям, установленным </w:t>
      </w:r>
      <w:hyperlink r:id="rId14" w:tooltip="https://internet.garant.ru/#/document/411399365/entry/22004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</w:t>
        </w:r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унктом 4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настоящего Порядка;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представление документов, указанных в </w:t>
      </w:r>
      <w:hyperlink r:id="rId15" w:tooltip="https://internet.garant.ru/#/document/411399365/entry/22004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пункте 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настоящего Порядка, в учреждение, к которому пациент не прикреплен;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 решение врачебной комиссии учреждения об отсутствии у пациента ограничения способности к самостоятельному передвижению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7. Учреждение в течение одного рабочего дня со дня принятия решения об организации транспортировки пациента в медицинскую организацию для получения процедуры гемодиализа и обратно либо об отказе в организации данной транспортировки письменно уведомляет пац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иента (законного представителя или представителя) о результатах рассмотрения документов, а также информирует пациента (законного представителя или представителя) о принятом решении по указанным в заявлении контактным данным.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принятия решения об отказе в организации транспортировки пациента в медицинскую организацию для получения процедуры гемодиализа и обратно в уведомлении указываются основания для отказа в организации данной транспортировки, установленные </w:t>
      </w:r>
      <w:hyperlink r:id="rId16" w:tooltip="https://internet.garant.ru/#/document/411399365/entry/22006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устранения оснований для отказа в организации транспортировки пациента в медицинскую организацию для получения процедуры гемодиализа и обратно, установленных </w:t>
      </w:r>
      <w:hyperlink r:id="rId17" w:tooltip="https://internet.garant.ru/#/document/411399365/entry/22006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пунктом 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тоящего Порядка, пациент (законный представитель или представитель) вправе повторно представить документы в соответствии с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8. Транспортировка пациентов учреждением осуществляется с использованием транспортных средств переданных (полученных) им (ими) в установленном порядке.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случае отсутствия у учреждения необходимого автотранспорта, транспортировка пациентов на процедуру гемодиализа и обратно осуществляется с привлечением организаций и физических лиц, оказывающих транспортные услуги,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основе заключаемых гражданско-правовых договоров.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Транспортировка пациента в медицинскую организацию для получения процедуры гемодиализа и обратно осуществляется учреждением от места фактического проживания пациента до медицинской организации и обратно после проведения процедуры гемодиализа до места фа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ктического проживания пациента.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10. В случае изменения графика процедур гемодиализа пациент (законный представитель или представитель) не позднее трех рабочих дней со дня изменения графика процедур представляет в учреждение следующие документы: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заявление в произвольной письменной форме об изменении графика транспортировки в медицинскую организацию для получения процедуры гемодиализа и обратно с указанием фамилии, имени, отчества (последнее - при наличии) пациента (законного представителя или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едставителя), контактных данных, сведений об адресе места регистрации и места фактического проживания пациента;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справку из медицинской организации с указанием изменений в графике процедур гемодиализа.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11. Учреждение в день поступления документов, указанных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18" w:tooltip="https://internet.garant.ru/#/document/411399365/entry/22009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</w:t>
          <w:br/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 настоящего Порядка, регистрирует их и в течение одного рабочего дня со дня регистрации рассматривает и принимает решение на врачебной комиссии  учреждения об изменении графика транспортировки пациента в медицинскую организацию для получения процедуры гем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одиализа и обратно либо об отказе в организации данной транспортировки.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12. Основанием для принятия учреждением решения об отказе в изменении графика транспортировки пациента в медицинскую организацию для получения процедуры гемодиализа и обратно является представление неполного пакета документов, указанных в</w:t>
      </w:r>
      <w:hyperlink r:id="rId19" w:tooltip="https://internet.garant.ru/#/document/411399365/entry/22009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 пункте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 настоящего Порядка.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Учреждение в течение одного рабочего дня со дня принятия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решения об изменении графика транспортировки пациента в медицинскую организацию для получения процедуры гемодиализа и обратно либо об отказе в организации данной транспортировки письменно уведомляет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пациента (законного представителя или представителя) о результатах рассмотрения документов, а также информирует пациента (законного представителя или представителя) о принятом решении по указанным в заявлении контактным данным.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случае принятия решения об отказе в изменении графика транспортировки пациента в медицинскую организацию для получения процедуры гемодиализа и обратно в уведомлении указываются основания для отказа в организации данной транспортировки, установленные </w:t>
      </w:r>
      <w:hyperlink r:id="rId20" w:tooltip="https://internet.garant.ru/#/document/411399365/entry/22011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пункта.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устранения оснований для отказа в изменении графика транспортировки пациента в медицинскую организацию для получения процедуры гемодиализа и обратно, установленных </w:t>
      </w:r>
      <w:hyperlink r:id="rId21" w:tooltip="https://internet.garant.ru/#/document/411399365/entry/22011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абзацем первым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пункта, пациент (законный представитель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или представитель) вправе повторно представить документы в соответствии с настоящим Порядком.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13. Основаниями для прекращения учреждением транспортировки пациента в медицинскую организацию для получения процедуры гемодиализа и обратно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информация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Министерство социальной и демографической политики Забайкальского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поступившая в учреждение о принятии решения о назначении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ежемесячной социальной выплаты на оплату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проезда;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заявление пациента (законного представителя или представителя) о назначении пациенту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ежемесячной социальной выплаты на оплату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проезда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изменение места фактического проживания пациента, повлекшее его проживание в населенном пункте Забайкальского края, в котором имеется медицинская организация, и (или) прикрепление пациента к другому учреждению;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решение врачебной комиссии учреждения об отсутствии у пациента ограничения способности к самостоятельному передвижению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5) смерть;</w:t>
      </w:r>
      <w:r>
        <w:rPr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  <w:t xml:space="preserve">6) выбытие за пределы Забайкальского края.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Пациент (законный представитель или представитель) обязан в письменной форме сообщить в учреждение об изменении места фактического проживания пациента, повлекшем проживание пациента в населенном пункте Забайкальского края, в котором имеется медицинская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ганизация, и (или) о прикреплении пациента к другому учреждению в течение пяти рабочих дней со дня наступления указанных обстоятельств.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Учреждение в течение двух рабочих дней со дня поступления информации о наступлении обстоятельств, указанных в </w:t>
      </w:r>
      <w:hyperlink r:id="rId22" w:tooltip="https://internet.garant.ru/#/document/411399365/entry/220122" w:history="1">
        <w:r>
          <w:rPr>
            <w:rStyle w:val="895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подпунктах 1 - 4 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настоящего пункта, принимает решение на врачебной комиссии учреждения о прекращении транспортировки пациента в медицинскую организацию.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8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Учреждение в течение одного рабочего дня со дня принятия решения о прекращении транспортировки пациента в медицинскую организацию письменно уведомляет пациента (законного представителя или представителя) о прекращении транспортировки в медицинскую организа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цию с указанием оснований принятия данного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8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Транспортировка пациента в медицинскую организацию для получения процедуры гемодиализа и обратно прекращается начиная с месяца, следующего за месяцем, в котором в учреждение поступили сведения о наступлении обстоятельств, указанных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подпунктах 1, 3 - 4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настоящего пункта, либо с первого числа месяца назначения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ежемесячной социальной выплаты на оплату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проезда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наступлении обстоятельств, указанных в подпункте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настоящего пункта.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ind w:left="0" w:right="0" w:firstLine="85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1"/>
        <w:ind w:firstLine="709"/>
        <w:jc w:val="center"/>
        <w:tabs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880"/>
      <w:jc w:val="center"/>
      <w:tabs>
        <w:tab w:val="left" w:pos="4228" w:leader="none"/>
        <w:tab w:val="center" w:pos="4606" w:leader="none"/>
        <w:tab w:val="left" w:pos="5668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5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914"/>
      <w:numFmt w:val="decimal"/>
      <w:isLgl w:val="false"/>
      <w:suff w:val="tab"/>
      <w:lvlText w:val="%1."/>
      <w:lvlJc w:val="left"/>
      <w:pPr>
        <w:ind w:left="885" w:hanging="52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86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92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86"/>
      <w:numFmt w:val="decimal"/>
      <w:isLgl w:val="false"/>
      <w:suff w:val="tab"/>
      <w:lvlText w:val="%1."/>
      <w:lvlJc w:val="left"/>
      <w:pPr>
        <w:ind w:left="517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1"/>
    <w:next w:val="871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1"/>
    <w:next w:val="871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1"/>
    <w:next w:val="871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723"/>
    <w:uiPriority w:val="99"/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905"/>
    <w:qFormat/>
    <w:pPr>
      <w:jc w:val="center"/>
      <w:keepNext/>
      <w:outlineLvl w:val="0"/>
    </w:pPr>
    <w:rPr>
      <w:rFonts w:eastAsia="Calibri"/>
      <w:b/>
      <w:bCs/>
      <w:sz w:val="32"/>
      <w:lang w:val="en-US" w:eastAsia="en-US"/>
    </w:rPr>
  </w:style>
  <w:style w:type="character" w:styleId="873">
    <w:name w:val="Основной шрифт абзаца"/>
    <w:next w:val="873"/>
    <w:link w:val="871"/>
    <w:semiHidden/>
  </w:style>
  <w:style w:type="table" w:styleId="874">
    <w:name w:val="Обычная таблица"/>
    <w:next w:val="874"/>
    <w:link w:val="871"/>
    <w:semiHidden/>
    <w:tblPr/>
  </w:style>
  <w:style w:type="numbering" w:styleId="875">
    <w:name w:val="Нет списка"/>
    <w:next w:val="875"/>
    <w:link w:val="871"/>
    <w:uiPriority w:val="99"/>
    <w:semiHidden/>
  </w:style>
  <w:style w:type="paragraph" w:styleId="876">
    <w:name w:val="Текст выноски"/>
    <w:basedOn w:val="871"/>
    <w:next w:val="876"/>
    <w:link w:val="896"/>
    <w:rPr>
      <w:rFonts w:ascii="Tahoma" w:hAnsi="Tahoma" w:cs="Tahoma"/>
      <w:sz w:val="16"/>
      <w:szCs w:val="16"/>
    </w:rPr>
  </w:style>
  <w:style w:type="paragraph" w:styleId="877">
    <w:name w:val="ConsPlusNonformat"/>
    <w:next w:val="877"/>
    <w:link w:val="871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78">
    <w:name w:val="Сетка таблицы"/>
    <w:basedOn w:val="874"/>
    <w:next w:val="878"/>
    <w:link w:val="871"/>
    <w:rPr>
      <w:lang w:val="ru-RU" w:eastAsia="ru-RU" w:bidi="ar-SA"/>
    </w:rPr>
    <w:tblPr/>
  </w:style>
  <w:style w:type="paragraph" w:styleId="879">
    <w:name w:val="ConsPlusNormal"/>
    <w:next w:val="879"/>
    <w:link w:val="904"/>
    <w:rPr>
      <w:rFonts w:ascii="Arial" w:hAnsi="Arial" w:cs="Arial"/>
      <w:lang w:val="ru-RU" w:eastAsia="ru-RU" w:bidi="ar-SA"/>
    </w:rPr>
  </w:style>
  <w:style w:type="paragraph" w:styleId="880">
    <w:name w:val="Верхний колонтитул"/>
    <w:basedOn w:val="871"/>
    <w:next w:val="880"/>
    <w:link w:val="881"/>
    <w:uiPriority w:val="99"/>
    <w:pPr>
      <w:tabs>
        <w:tab w:val="center" w:pos="4677" w:leader="none"/>
        <w:tab w:val="right" w:pos="9355" w:leader="none"/>
      </w:tabs>
    </w:pPr>
  </w:style>
  <w:style w:type="character" w:styleId="881">
    <w:name w:val="Верхний колонтитул Знак"/>
    <w:next w:val="881"/>
    <w:link w:val="880"/>
    <w:uiPriority w:val="99"/>
    <w:rPr>
      <w:sz w:val="24"/>
      <w:szCs w:val="24"/>
      <w:lang w:val="ru-RU" w:eastAsia="ru-RU"/>
    </w:rPr>
  </w:style>
  <w:style w:type="character" w:styleId="882">
    <w:name w:val="Номер страницы"/>
    <w:basedOn w:val="873"/>
    <w:next w:val="882"/>
    <w:link w:val="871"/>
  </w:style>
  <w:style w:type="paragraph" w:styleId="883">
    <w:name w:val="Нижний колонтитул"/>
    <w:basedOn w:val="871"/>
    <w:next w:val="883"/>
    <w:link w:val="884"/>
    <w:pPr>
      <w:tabs>
        <w:tab w:val="center" w:pos="4677" w:leader="none"/>
        <w:tab w:val="right" w:pos="9355" w:leader="none"/>
      </w:tabs>
    </w:pPr>
  </w:style>
  <w:style w:type="character" w:styleId="884">
    <w:name w:val="Нижний колонтитул Знак"/>
    <w:next w:val="884"/>
    <w:link w:val="883"/>
    <w:rPr>
      <w:sz w:val="24"/>
      <w:szCs w:val="24"/>
      <w:lang w:val="ru-RU" w:eastAsia="ru-RU"/>
    </w:rPr>
  </w:style>
  <w:style w:type="paragraph" w:styleId="885">
    <w:name w:val="Текст сноски"/>
    <w:basedOn w:val="871"/>
    <w:next w:val="885"/>
    <w:link w:val="886"/>
    <w:uiPriority w:val="99"/>
    <w:semiHidden/>
    <w:rPr>
      <w:sz w:val="20"/>
      <w:szCs w:val="20"/>
    </w:rPr>
  </w:style>
  <w:style w:type="character" w:styleId="886">
    <w:name w:val="Текст сноски Знак"/>
    <w:next w:val="886"/>
    <w:link w:val="885"/>
    <w:uiPriority w:val="99"/>
    <w:rPr>
      <w:lang w:val="ru-RU" w:eastAsia="ru-RU"/>
    </w:rPr>
  </w:style>
  <w:style w:type="character" w:styleId="887">
    <w:name w:val="Знак сноски"/>
    <w:next w:val="887"/>
    <w:link w:val="871"/>
    <w:semiHidden/>
    <w:rPr>
      <w:vertAlign w:val="superscript"/>
    </w:rPr>
  </w:style>
  <w:style w:type="paragraph" w:styleId="888">
    <w:name w:val="Знак Знак Знак2"/>
    <w:basedOn w:val="871"/>
    <w:next w:val="888"/>
    <w:link w:val="8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89">
    <w:name w:val="Знак Знак Знак"/>
    <w:basedOn w:val="871"/>
    <w:next w:val="889"/>
    <w:link w:val="8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90">
    <w:name w:val="Гипертекстовая ссылка"/>
    <w:next w:val="890"/>
    <w:link w:val="871"/>
    <w:rPr>
      <w:color w:val="106bbe"/>
    </w:rPr>
  </w:style>
  <w:style w:type="paragraph" w:styleId="891">
    <w:name w:val="Прижатый влево"/>
    <w:basedOn w:val="871"/>
    <w:next w:val="871"/>
    <w:link w:val="871"/>
    <w:uiPriority w:val="99"/>
    <w:rPr>
      <w:rFonts w:ascii="Arial" w:hAnsi="Arial"/>
    </w:rPr>
  </w:style>
  <w:style w:type="character" w:styleId="892">
    <w:name w:val="Сравнение редакций. Добавленный фрагмент"/>
    <w:next w:val="892"/>
    <w:link w:val="871"/>
    <w:rPr>
      <w:color w:val="000000"/>
      <w:shd w:val="clear" w:color="auto" w:fill="c1d7ff"/>
    </w:rPr>
  </w:style>
  <w:style w:type="paragraph" w:styleId="893">
    <w:name w:val="Iau?iue"/>
    <w:next w:val="893"/>
    <w:link w:val="871"/>
    <w:rPr>
      <w:lang w:val="en-US" w:eastAsia="ru-RU" w:bidi="ar-SA"/>
    </w:rPr>
  </w:style>
  <w:style w:type="paragraph" w:styleId="894">
    <w:name w:val="Абзац списка"/>
    <w:basedOn w:val="871"/>
    <w:next w:val="894"/>
    <w:link w:val="871"/>
    <w:uiPriority w:val="34"/>
    <w:qFormat/>
    <w:pPr>
      <w:ind w:left="720"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895">
    <w:name w:val="Гиперссылка"/>
    <w:next w:val="895"/>
    <w:link w:val="871"/>
    <w:uiPriority w:val="99"/>
    <w:rPr>
      <w:rFonts w:cs="Times New Roman"/>
      <w:color w:val="0000ff"/>
      <w:u w:val="single"/>
    </w:rPr>
  </w:style>
  <w:style w:type="character" w:styleId="896">
    <w:name w:val="Текст выноски Знак"/>
    <w:next w:val="896"/>
    <w:link w:val="876"/>
    <w:rPr>
      <w:rFonts w:ascii="Tahoma" w:hAnsi="Tahoma" w:cs="Tahoma"/>
      <w:sz w:val="16"/>
      <w:szCs w:val="16"/>
      <w:lang w:val="ru-RU" w:eastAsia="ru-RU" w:bidi="ar-SA"/>
    </w:rPr>
  </w:style>
  <w:style w:type="character" w:styleId="897">
    <w:name w:val=" Знак Знак3"/>
    <w:next w:val="897"/>
    <w:link w:val="871"/>
    <w:rPr>
      <w:rFonts w:cs="Times New Roman"/>
    </w:rPr>
  </w:style>
  <w:style w:type="paragraph" w:styleId="898">
    <w:name w:val="Нормальный (таблица)"/>
    <w:basedOn w:val="871"/>
    <w:next w:val="871"/>
    <w:link w:val="871"/>
    <w:uiPriority w:val="99"/>
    <w:pPr>
      <w:jc w:val="both"/>
    </w:pPr>
    <w:rPr>
      <w:rFonts w:ascii="Arial" w:hAnsi="Arial" w:cs="Arial"/>
    </w:rPr>
  </w:style>
  <w:style w:type="character" w:styleId="899">
    <w:name w:val="Строгий"/>
    <w:next w:val="899"/>
    <w:link w:val="871"/>
    <w:uiPriority w:val="22"/>
    <w:qFormat/>
    <w:rPr>
      <w:b/>
      <w:bCs/>
    </w:rPr>
  </w:style>
  <w:style w:type="paragraph" w:styleId="900">
    <w:name w:val="List Paragraph"/>
    <w:basedOn w:val="871"/>
    <w:next w:val="900"/>
    <w:link w:val="871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01">
    <w:name w:val="Рецензия"/>
    <w:next w:val="901"/>
    <w:link w:val="871"/>
    <w:hidden/>
    <w:uiPriority w:val="99"/>
    <w:semiHidden/>
    <w:rPr>
      <w:sz w:val="24"/>
      <w:szCs w:val="24"/>
      <w:lang w:val="ru-RU" w:eastAsia="ru-RU" w:bidi="ar-SA"/>
    </w:rPr>
  </w:style>
  <w:style w:type="character" w:styleId="902">
    <w:name w:val="Номер строки"/>
    <w:next w:val="902"/>
    <w:link w:val="871"/>
  </w:style>
  <w:style w:type="paragraph" w:styleId="903">
    <w:name w:val="ConsPlusTitle"/>
    <w:next w:val="903"/>
    <w:link w:val="871"/>
    <w:uiPriority w:val="99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904">
    <w:name w:val="ConsPlusNormal Знак"/>
    <w:next w:val="904"/>
    <w:link w:val="879"/>
    <w:rPr>
      <w:rFonts w:ascii="Arial" w:hAnsi="Arial" w:cs="Arial"/>
      <w:lang w:val="ru-RU" w:eastAsia="ru-RU" w:bidi="ar-SA"/>
    </w:rPr>
  </w:style>
  <w:style w:type="character" w:styleId="905">
    <w:name w:val="Заголовок 1 Знак"/>
    <w:next w:val="905"/>
    <w:link w:val="872"/>
    <w:rPr>
      <w:rFonts w:eastAsia="Calibri"/>
      <w:b/>
      <w:bCs/>
      <w:sz w:val="32"/>
      <w:szCs w:val="24"/>
    </w:rPr>
  </w:style>
  <w:style w:type="character" w:styleId="906">
    <w:name w:val="Знак примечания"/>
    <w:next w:val="906"/>
    <w:link w:val="871"/>
    <w:rPr>
      <w:sz w:val="16"/>
      <w:szCs w:val="16"/>
    </w:rPr>
  </w:style>
  <w:style w:type="paragraph" w:styleId="907">
    <w:name w:val="Текст примечания"/>
    <w:basedOn w:val="871"/>
    <w:next w:val="907"/>
    <w:link w:val="908"/>
    <w:uiPriority w:val="99"/>
    <w:rPr>
      <w:sz w:val="20"/>
      <w:szCs w:val="20"/>
    </w:rPr>
  </w:style>
  <w:style w:type="character" w:styleId="908">
    <w:name w:val="Текст примечания Знак"/>
    <w:basedOn w:val="873"/>
    <w:next w:val="908"/>
    <w:link w:val="907"/>
    <w:uiPriority w:val="99"/>
  </w:style>
  <w:style w:type="paragraph" w:styleId="909">
    <w:name w:val="Тема примечания"/>
    <w:basedOn w:val="907"/>
    <w:next w:val="907"/>
    <w:link w:val="910"/>
    <w:uiPriority w:val="99"/>
    <w:rPr>
      <w:b/>
      <w:bCs/>
      <w:lang w:val="en-US" w:eastAsia="en-US"/>
    </w:rPr>
  </w:style>
  <w:style w:type="character" w:styleId="910">
    <w:name w:val="Тема примечания Знак"/>
    <w:next w:val="910"/>
    <w:link w:val="909"/>
    <w:uiPriority w:val="99"/>
    <w:rPr>
      <w:b/>
      <w:bCs/>
    </w:rPr>
  </w:style>
  <w:style w:type="paragraph" w:styleId="911">
    <w:name w:val="Без интервала"/>
    <w:next w:val="911"/>
    <w:link w:val="871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12">
    <w:name w:val="Default"/>
    <w:next w:val="912"/>
    <w:link w:val="871"/>
    <w:rPr>
      <w:rFonts w:eastAsia="Calibri"/>
      <w:color w:val="000000"/>
      <w:sz w:val="24"/>
      <w:szCs w:val="24"/>
      <w:lang w:val="ru-RU" w:eastAsia="en-US" w:bidi="ar-SA"/>
    </w:rPr>
  </w:style>
  <w:style w:type="character" w:styleId="913" w:default="1">
    <w:name w:val="Default Paragraph Font"/>
    <w:uiPriority w:val="1"/>
    <w:semiHidden/>
    <w:unhideWhenUsed/>
  </w:style>
  <w:style w:type="numbering" w:styleId="914" w:default="1">
    <w:name w:val="No List"/>
    <w:uiPriority w:val="99"/>
    <w:semiHidden/>
    <w:unhideWhenUsed/>
  </w:style>
  <w:style w:type="table" w:styleId="915" w:default="1">
    <w:name w:val="Normal Table"/>
    <w:uiPriority w:val="99"/>
    <w:semiHidden/>
    <w:unhideWhenUsed/>
    <w:tblPr/>
  </w:style>
  <w:style w:type="paragraph" w:styleId="916" w:customStyle="1">
    <w:name w:val="annotation text"/>
    <w:basedOn w:val="709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emf"/><Relationship Id="rId11" Type="http://schemas.openxmlformats.org/officeDocument/2006/relationships/hyperlink" Target="https://internet.garant.ru/#/document/411399365/entry/22032" TargetMode="External"/><Relationship Id="rId12" Type="http://schemas.openxmlformats.org/officeDocument/2006/relationships/hyperlink" Target="https://internet.garant.ru/#/document/411399365/entry/22043" TargetMode="External"/><Relationship Id="rId13" Type="http://schemas.openxmlformats.org/officeDocument/2006/relationships/hyperlink" Target="https://internet.garant.ru/#/document/411399365/entry/22004" TargetMode="External"/><Relationship Id="rId14" Type="http://schemas.openxmlformats.org/officeDocument/2006/relationships/hyperlink" Target="https://internet.garant.ru/#/document/411399365/entry/22004" TargetMode="External"/><Relationship Id="rId15" Type="http://schemas.openxmlformats.org/officeDocument/2006/relationships/hyperlink" Target="https://internet.garant.ru/#/document/411399365/entry/22004" TargetMode="External"/><Relationship Id="rId16" Type="http://schemas.openxmlformats.org/officeDocument/2006/relationships/hyperlink" Target="https://internet.garant.ru/#/document/411399365/entry/22006" TargetMode="External"/><Relationship Id="rId17" Type="http://schemas.openxmlformats.org/officeDocument/2006/relationships/hyperlink" Target="https://internet.garant.ru/#/document/411399365/entry/22006" TargetMode="External"/><Relationship Id="rId18" Type="http://schemas.openxmlformats.org/officeDocument/2006/relationships/hyperlink" Target="https://internet.garant.ru/#/document/411399365/entry/22009" TargetMode="External"/><Relationship Id="rId19" Type="http://schemas.openxmlformats.org/officeDocument/2006/relationships/hyperlink" Target="https://internet.garant.ru/#/document/411399365/entry/22009" TargetMode="External"/><Relationship Id="rId20" Type="http://schemas.openxmlformats.org/officeDocument/2006/relationships/hyperlink" Target="https://internet.garant.ru/#/document/411399365/entry/22011" TargetMode="External"/><Relationship Id="rId21" Type="http://schemas.openxmlformats.org/officeDocument/2006/relationships/hyperlink" Target="https://internet.garant.ru/#/document/411399365/entry/22011" TargetMode="External"/><Relationship Id="rId22" Type="http://schemas.openxmlformats.org/officeDocument/2006/relationships/hyperlink" Target="https://internet.garant.ru/#/document/411399365/entry/2201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reab2</dc:creator>
  <cp:revision>50</cp:revision>
  <dcterms:created xsi:type="dcterms:W3CDTF">2023-12-05T08:22:00Z</dcterms:created>
  <dcterms:modified xsi:type="dcterms:W3CDTF">2025-12-23T01:07:15Z</dcterms:modified>
  <cp:version>917504</cp:version>
</cp:coreProperties>
</file>