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Cambria" w:hAnsi="Cambria" w:eastAsia="Times New Roman" w:cs="Times New Roman"/>
          <w:lang w:eastAsia="ru-RU"/>
        </w:rPr>
      </w:pPr>
      <w:r>
        <w:rPr>
          <w:rFonts w:ascii="Cambria" w:hAnsi="Cambria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6765" cy="871855"/>
                <wp:effectExtent l="0" t="0" r="0" b="444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59815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86764" cy="87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95pt;height:68.6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Cambria" w:hAnsi="Cambria" w:eastAsia="Times New Roman" w:cs="Times New Roman"/>
          <w:lang w:eastAsia="ru-RU"/>
        </w:rPr>
      </w:r>
      <w:r>
        <w:rPr>
          <w:rFonts w:ascii="Cambria" w:hAnsi="Cambria" w:eastAsia="Times New Roman" w:cs="Times New Roman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1"/>
          <w:sz w:val="33"/>
          <w:szCs w:val="33"/>
          <w:lang w:eastAsia="ru-RU"/>
        </w:rPr>
        <w:t xml:space="preserve">ПРАВИТЕЛЬСТВО ЗАБАЙКАЛЬСКОГО КРАЯ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19"/>
        <w:jc w:val="center"/>
        <w:spacing w:before="130"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bCs/>
          <w:spacing w:val="-14"/>
          <w:sz w:val="35"/>
          <w:szCs w:val="35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</w:p>
    <w:p>
      <w:pPr>
        <w:ind w:left="19"/>
        <w:jc w:val="center"/>
        <w:spacing w:before="130"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bCs/>
          <w:spacing w:val="-6"/>
          <w:sz w:val="35"/>
          <w:szCs w:val="35"/>
          <w:lang w:eastAsia="ru-RU"/>
        </w:rPr>
        <w:t xml:space="preserve">г. Чита</w:t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региональной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здоровьесбережению в Забайкальском крае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целях достижения целевых по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казателей и задач, установленных Указом Президента Российской Федерации от 7 мая 2024 года № 309 </w:t>
        <w:br/>
        <w:t xml:space="preserve">«О национальных целях развития Российской Федерации на период до </w:t>
        <w:br/>
        <w:t xml:space="preserve">2030 года и на перспективу до 2036 года»,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 Утвердить прилагаемую региональную программу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здоровьесбережению в Забайкальском крае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2127" w:leader="none"/>
          <w:tab w:val="left" w:pos="79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Первый заместитель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2127" w:leader="none"/>
          <w:tab w:val="left" w:pos="79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2127" w:leader="none"/>
          <w:tab w:val="left" w:pos="79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Б.Б. Батомункуев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099" w:type="dxa"/>
        <w:jc w:val="center"/>
        <w:tblLook w:val="04A0" w:firstRow="1" w:lastRow="0" w:firstColumn="1" w:lastColumn="0" w:noHBand="0" w:noVBand="1"/>
      </w:tblPr>
      <w:tblGrid>
        <w:gridCol w:w="10099"/>
      </w:tblGrid>
      <w:tr>
        <w:tblPrEx/>
        <w:trPr>
          <w:jc w:val="center"/>
        </w:trPr>
        <w:tc>
          <w:tcPr>
            <w:tcW w:w="1009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r>
          </w:p>
          <w:p>
            <w:pPr>
              <w:ind w:left="4956" w:firstLine="7"/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УТВЕРЖДЕНА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left="4956" w:firstLine="7"/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</w:r>
          </w:p>
          <w:p>
            <w:pPr>
              <w:ind w:left="4956" w:firstLine="7"/>
              <w:jc w:val="center"/>
              <w:spacing w:after="0" w:line="240" w:lineRule="auto"/>
              <w:tabs>
                <w:tab w:val="left" w:pos="5103" w:leader="none"/>
                <w:tab w:val="left" w:pos="581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Забайкальского края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36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РЕГИОНАЛЬНАЯ ПРОГРАММА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здоровьесбережению в Забайкальском крае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left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left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Чита, 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Показатели региональной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4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559"/>
        <w:gridCol w:w="1701"/>
        <w:gridCol w:w="1556"/>
        <w:gridCol w:w="854"/>
        <w:gridCol w:w="989"/>
        <w:gridCol w:w="851"/>
        <w:gridCol w:w="853"/>
        <w:gridCol w:w="848"/>
        <w:gridCol w:w="850"/>
        <w:gridCol w:w="227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регионального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смертности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11,8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11,8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2"/>
              <w:ind w:right="-108"/>
              <w:jc w:val="center"/>
              <w:keepLines/>
              <w:keepNext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11,6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11,5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11,4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11,3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пищеварения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2"/>
              <w:ind w:left="-108" w:right="62"/>
              <w:jc w:val="center"/>
              <w:keepLines/>
              <w:keepNext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449,5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449,0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448,5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448,0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902"/>
              <w:ind w:right="-108"/>
              <w:jc w:val="center"/>
              <w:keepLines/>
              <w:keepNext/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 xml:space="preserve">174,5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ind w:right="-163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ind w:left="-53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173,5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-12"/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173,0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Младенческая смертность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тыс. родившихся живыми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Соглашением о реализации на территории субъекта Российской Федерации регионального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«Охрана материнства и детства (Забайкальский край)»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смертность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100 тыс. нас.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46" w:type="dxa"/>
            <w:textDirection w:val="lrTb"/>
            <w:noWrap w:val="false"/>
          </w:tcPr>
          <w:p>
            <w:pPr>
              <w:pStyle w:val="89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5"/>
              <w:numPr>
                <w:ilvl w:val="0"/>
                <w:numId w:val="1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алкогольной продукции на душу населения (в литрах этанола)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Соглашением о реализации на территории субъекта Российской Федерации регионального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«Здоровье для каждого»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Распространенность курения табака в возрасте 15 лет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Соглашением о реализации на территории субъекта Российской Федерации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«Здоровье для каждого»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Соглашением о реализации на территории субъекта Российской Федерации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«Здоровье для каждого»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>
          <w:footnotePr/>
          <w:endnotePr/>
          <w:type w:val="nextPage"/>
          <w:pgSz w:w="16838" w:h="11906" w:orient="landscape"/>
          <w:pgMar w:top="720" w:right="720" w:bottom="720" w:left="720" w:header="708" w:footer="708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Мероприятия региональной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96"/>
        <w:tblW w:w="0" w:type="auto"/>
        <w:tblInd w:w="-5" w:type="dxa"/>
        <w:tblLook w:val="04A0" w:firstRow="1" w:lastRow="0" w:firstColumn="1" w:lastColumn="0" w:noHBand="0" w:noVBand="1"/>
      </w:tblPr>
      <w:tblGrid>
        <w:gridCol w:w="4311"/>
        <w:gridCol w:w="3201"/>
        <w:gridCol w:w="2085"/>
        <w:gridCol w:w="3043"/>
        <w:gridCol w:w="2978"/>
      </w:tblGrid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Ответственный.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региональной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совета по укреплению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здоровья на территории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совета по укреплению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здоровья на территории Забайкальского края выполнен на 100 %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плана работ по реализации мероприятий, направленных на профилактику неинфекционных заболеваний и формирование здорового образа жизни, включая повышение охвата населения профилактическими медицинскими осмотрами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диспансеризацией, пропаганду здорового образа жизни, повышение охвата профилактическим консультированием с целью ранней и наиболее полной коррекции выявленных поведенческих и биологических факторов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плана работ по обучению само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взаимопо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щи жителей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само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взаимопо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щи не менее 5 000 жителей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 качества жизни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Повышение доходов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новых предприятий и создание новых рабочих мест в рамках реализации инвестиционных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социальному, экономическому, инфраструктурному, пространственному планированию и развитию Забайкальского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реальных располагаемых денежных доходов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2024 году: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2025 году − на 2,2 %,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2035 году – на 42,3 %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размера дополнительной социальной выплаты при рождении (усыновлении) одного ребенка молодым семьям с 5 % до 20 % расчетной (средней) стоимости жилья за счет средств краевого бюджета для семей, которым уже была предоставлена основная выплата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(строительство) жилья, и у которых за время ожидания в очереди на предоставление выплаты родился (усыновлен) ребенок, но на которого не была рассчитана социальная выплата путем внесения изменений в Правила предоставления молодым семьям социаль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выплат на приобретение (строительство) жилья и их использования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Министерство строительства, дорожного хозяйства и транспорта Забайкальского края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Социальная выплата при рождении (усыновлении) одного ребенка молодым семьям составляет 20 % расчетной (средней) стоимости жилья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младенческая смертность,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роста занятости и самостоятельности в бизнесе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«Мама-предприниматель»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талантливых мам-предпринимателей и поддержка инициативных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асширение возможностей трудоустройства и самореализации молодых матерей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ьготные условия финансирования проектов, направленных на выпуск импортозамещающей, высокотехнологичной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конкурентоспособной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развития промышленности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Устойчивый экономический 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уровня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Создание дополнительных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2.2.3. Обеспечение субъектам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заемным средствам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микрофинансовых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НМК «Фонд поддержки малого предпринимательства Забайкальского края»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мероприятия (результата) по годам реализации проекта: 2025 год-597,7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2026 год -595,9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2027-604,4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2028 год -603,8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2029 год-603,8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2030 год -603,8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видов производимых товаров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благоприятных условий для развития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2.3.1. Реализация проектов по созданию туристических троп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активного отдыха,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undefined"/>
            <w:r>
              <w:rPr>
                <w:sz w:val="28"/>
                <w:szCs w:val="28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семей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2.3.2. Повышение доступности туристических продуктов в целях создания условий для активного отдыха населения, развитие экологического туризма.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(Создание новых точек притяжения, развитие и благоустройство действующих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туристического потока, увеличение количества реализуемых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Увеличение числа активных туристов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2.4. 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долгосрочных планов комплексного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2.4.1. Реализация мероприятий долгосрочного плана комплексного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городского округа «Город Чита»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ожидаемой продолжительности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70,5 лет в 2022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72 лет к 2030 году;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смертности от всех причин с 14 % до 12 %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органов дыхания,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инфекционные и паразитарные болезни,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2.4.2. Реализация мероприятий долгосрочного плана комплексного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городского поселения «Город Краснокаменск»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органы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ожидаемой продолжительности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67,7 лет в 2022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70 лет к 2030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машинотракторного парка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2.5.1. Приобретение новых инновационных комбайнов и тракторов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новых инновационных комбайнов и тракторов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производительности труда и снижение затрат на механизированные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болезни органов пищеварения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смертности от причин смерти, обусловленных злоупотреблением алкоголем, наркотиками и ПАВ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нижение потребления алкоголя путем ограничения доступности их розничной продажи посредством контроля количества и дислокации торговых точек (с учетом близости к жилью и социальным объектам), регламентации времени продажи и условий торговли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3.1.1. Разработка и принятие нормативных правовых актов, устанавливающих дополнительные ограничения времени, мест и условий розничной продажи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по тарифам и ценообразованию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объема потребления алкогольной продукции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9,03 л/ч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алкогольной продукции на душу населения (в литрах этанола)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3.1.2. Сокращение количества лицензированных торговых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по тарифам и ценообразованию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3.1.3. Содействие органам местного самоуправления в части увеличения границ прилегающих территорий, на которых не допускается реализация алкогольной продукции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по тарифам и ценообразованию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3.1.4.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Разработка нормативных правовых актов, предусматривающих дополнительные ограничения розничной продажи алкогольной продукции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по тарифам и ценообразованию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3.1.5.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Проведение профилактических мероприятий с хозяйствующими субъектами по вопросам соблюдения требований законодательства в сфере оборота алкогольной продукции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Забайкальскому краю </w:t>
            </w:r>
            <w:r/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Борьба с наркосодержащими растениями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3.2.1. Уничтожение очагов произрастания дикорастущей конопли в муниципальных образованиях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Забайкальского края; Администрации муниципальных округов (районов)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уничтожение выявленных очагов произрастания дикорастущей конопли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Работа с группами риска 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алкоголя, наркотиков и ПАВ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3.3.1.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дополнительных центров информирования населения по ЗОЖ и профилактике потребления ПАВ на базе Центров здоровья, кабинетов и отделений медицинской профилактики медицинских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Организовано не менее одного центра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алкогольной продукции на душу населения (в литрах этанола)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распространенность курения табака в возрасте 15 лет и более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3.3.2.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Увеличение охвата обучающихся в образовательных организациях субъекта социально-психологическим тестированием (далее – СТП) и профилактическими медицинскими осмотрами (далее – ПМО) за счет привлечения дополнительных ресурсов медицинских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рганизация СПТ в 100% образовательных организаций всех типов субъекта РФ.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Охват СПТ не менее 90% обучающихся образовательных организаций всех типов. Охват ПМО не менее 90% обучающихся из установленных по результатам СПТ групп риска по наркопотреблению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(образовательные организации, образовательные коллективы).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детская смертность,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распространенность курения табака в возрасте 15 лет и более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3.3.3.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бучение медицинских работников и медицинских психологов первичного звена, в том числе, с использованием дистанционных образовательных программ, технологиям скрининга и мотивационного консультирования пациентов с риском развития наркологических расстройств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бучение не менее 50%  медицинских работников (врачи, медицинские сестры, фельдшера) и медицинских психологов первичного звена здравоохранения технологиям скрининга и мотивационного консультирования пациентов с риском развития наркологических расстройств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рамках текущего финансирования.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Внешние причины, детская смертность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3.3.4.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рганизация в первичном звене здравоохранения (первичная медико-санитарная помощь и первичная специализированная медицинская помощь) скрининга пациентов с риском развития наркологических расстройств с целью их дальнейшего мотивирования к обращению за психол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огической или наркологической помощью и маршрутизации в центр Здоровья или в кабинет медико-психологического консультирования или к врачу психиатру-наркологу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медицинских организаций, где организован скрининг и мотивационное консультирование - не менее 50%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Внешние причины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алкогольной продукции на душу населения (в литрах этанола)</w:t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3.3.5.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проведение мероприятий антиалкогольной направленности среди всех возрастных категорий населения Забайкальского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объема потребления алкогольной продукции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9,03 л/ч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граждан, ведущего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Внедрение комплексных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муниципальных программ укрепления общественного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жизни, - не менее 7,5 %;</w:t>
            </w:r>
            <w:r/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Розничные продажи алкогольной продукции на душу населения, в литрах - не более 4,9.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Общая смертность,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дыхания,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пищеварения,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системы кровообращения,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новообразования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ведущих здоровый образ жизни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корпоративных программ укрепления здоровья работающих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Мероприятиями корпоративных программ укрепления здоровья работающих охвачено не менее 100 000 чел.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 ценностей физической культуры и спорта,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4.2.1. Производство и распространение информационных материалов для различных категорий населения</w:t>
            </w:r>
            <w:r/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систематически занимающихся физической культурой и спортом, - 73%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Общая смертность,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дыхания,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пищеварения,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системы кровообращения,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новообразования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алкогольной продукции на душу населения (в литрах этанола)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распространенность курения табака в возрасте 15 лет и более,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средствами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агитационных мероприятий по профилактике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информационных событий и мероприятий в 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управляющими компаниями, органами местного самоуправления по приведению спортивных объектов и придомовых территорий в надлежащее состояние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участников в проекте - 4500 чел.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бесплатных занятий тренерами (инструкторами по спорту, дворовыми инструкторами) по популярным и доступным видам спорта, в том числе обучающих мастер-классов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массовых физкультурных, спортивных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Сформированы команды среди различных групп населения.</w:t>
            </w:r>
            <w:r/>
          </w:p>
          <w:p>
            <w:pPr>
              <w:pStyle w:val="895"/>
              <w:ind w:left="0"/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Повышена мотивация к занятиям физической культурой и спортом.</w:t>
            </w:r>
            <w:r/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Сформированы здоровые привычки, определен досуг, хобби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4.2.8. Создание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 продвижение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дворовых волейбольных площадок 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активного образа жизни детей и молодежи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4.2.9. Организация работы в образовательных организациях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 базе Школьных Спортивных Клубов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«Школа ЗОЖ»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тематические квесты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ЗОЖ-десанты («выезд» активистов ШСК в младшие классы с играми и беседами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встречи с интересными людьми (спортсменами, долгожителями, учеными-медиками)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здорового образа жизни при помощи технологии «Равный равному»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4.2.10. Разработка и реализация 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роект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«Спортивная лига! Растем вместе»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сопровождение дошкольников/младших школьников студентами-спортсменами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позитивного образа спорта и ЗОЖ, развития физических качеств, получения первых навыков в различных видах спорта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4.2.11. Разработка и реализация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проекта «Ритм школы»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величени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количества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ежедневной физической активности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обучающихся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профилактики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гиподинамии и усталости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потреблению табака и никотинсодержащей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4.3.1.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азработка мер поддержки социально ориентированных некоммерческих организаций, не связанных с табачной индустрией, деятельность которых способствует профилактике и снижению потребления табака и иной никотинсодержащей продукции, в том числе в молодежной сред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е, трудовых и иных организованных коллективах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95"/>
              <w:ind w:left="0"/>
              <w:jc w:val="center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95"/>
              <w:ind w:left="0"/>
              <w:jc w:val="center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white"/>
                <w:shd w:val="clear" w:color="ffffff" w:themeColor="background1" w:fill="ffffff" w:themeFill="background1"/>
              </w:rPr>
              <w:t xml:space="preserve">Организация ежегодного конкурсного отбора социально ориентированных некоммерческих организаций для грантовой поддержки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распространенность курения табака в возрасте 15 лет и более,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71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4.3.2. Организация работы кабинетов медицинской помощи при отказе от табакокурения в соответствии с Приказом Министерства здравоохранения Российской Федерации от 26 февраля 2021 года № 140 н «Об утверждени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Порядка оказания медицинской помощи взрослому населению по прекращению потребления табака или потребления никотинсодержащей продукции, лечению табачной (никотиновой) зависимости, последствий потребления табака или потребления никотинсодержащей продукции»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Организована работа 27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кабинетов медицинской помощи при отказе от табакокурения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71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4.3.3. Подготовка (переподготовка) кадров для кабинетов медицинской помощи при отказе от табакокурения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100 %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кабинетов медицинской помощи при отказе от табакокурения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обеспечены специалистами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71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4.3.4. Организация работы центров здоровья по проведению индивидуального углубленного профилактического консультирования пациентов с факторами риска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отказу от курения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Организована работа 4 центров здоровья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71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4.3.5. Организация работы кабинетов (отделений) медицинской профилактики по выявлению факторов риска в том числе «Употребление табака» в ходе профилактических медицинских осмотров и диспансеризации определенных групп взрослого населения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Увеличение выявляемости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факторов риска в том числе «Употребление табака» в ходе профилактических медицинских осмотров и диспансеризации определенных групп взрослого населения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717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4.3.6. Внедрение в работу специализированных медицинских организаций, оказывающих наркологическую помощь, современных методик диагностики, лечения и реабилитации пациентов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табачной зависимостью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Внедрено не менее 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современной методики диагностики, лечения и реабилитации пациентов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табачной зависимостью в год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4.3.7.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информационных кампаний с использованием СМИ, официальных Интернет-сайтов и аккаунтов в социальных сетях, размещение информационных материалов в общественных местах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Ежегодно охвачено не менее 75% аудитории граждан старше 12 лет через СМИ: телевидение, радио, социальные сети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4.3.8.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Проведение углубленного профилактического консультирования на базе женских консультаций, центров планирования семьи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Все пациенты, обратившиеся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женские консультации и центры планирования семьи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4.3.9.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роведение комплекса мероприятий, направленных на выявление и пресечение фактов приобретения, хранения, перевозки в целях сбыта табачной и никотинсодержащей продукции без маркировки, незаконного перемещения табачной продукции, а также нарушений установленны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х запретов курения табака, потребления никотинсодержащей продукции на отдельных территориях, в помещениях и на объектах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России по Забайкальскому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Снижение количества случаев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приобретения, хранения, перевозки в целях сбыта табачной и никотинсодержащей продукции без маркировки, незаконного перемещения табачной продукции, а также нарушений установленны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х запретов курения табака, потребления никотинсодержащей продукции на отдельных территориях, в помещениях и на объектах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9"/>
        </w:trPr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Модификация рациона питания и витаминизации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4.4.1.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информационно-просветительских кампаний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популяризации здорового питания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Ежегодно охвачено не менее 75% аудитории граждан старше 12 лет через СМИ: телевидение, радио, социальные сети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ведущих здоровый образ жизни,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пищеварения,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системы кровообращения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4.4.2.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Пропаганда использования соли с пониженным содержанием натрия с целью профилактики сердечно-сосудистых заболеваний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Ежегодно охвачено не менее 75% аудитории граждан старше 12 лет через СМИ: телевидение, радио, социальные сети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4.4.3.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Поддержка развития локального тепличного производства овощей, фруктов, зелени, ягод и т.д.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Рост объемов производства овощей,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фруктов, зелени, ягод и т.д.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 произведенных на территории Забайкальского края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4.4.4.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Реализа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ция программ профилактики дефицита витамина Д, в том числе путем приема профилактических доз витамина Д3, в том числе детям, людям старшего возраста, беременным и людям с преддиабетом, а также путем использования обогащенных витамином Д3 продуктов питания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для детей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Снижение случаев выявления дефицита витамина 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Повышение безопасности участников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Работа с участниками дорожного движения и повышение качества дорожного покрытия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предупреждения опасного поведения участников дорожного движения, в том числе монтаж системы автоматической фотовидеофиксации нарушений правил дорожного движения, дорожных знаков, искусственных неровностей на пешеходных переходах.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дорожного хозяйства и транспорта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стационарных камер фотовидеофиксации нарушений правил дорожного движения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смертность, внешние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5.1.2.  Реализация плана работы по решению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транспортной безопасности и снижению аварийности, смертности на дорогах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Забайкальского края в рамках региональной программы «Безопасность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движения»</w:t>
            </w:r>
            <w:r/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Госавтоинспекции УМВД России по Забайкальскому краю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транспортного риска до 3,11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10 тысяч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2030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5.1.3.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роведение комплекса мероприятий, направленных на выявление и пресечение фактов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управления транспортным средством в состоянии опьянения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Госавтоинспекции УМВД России по Забайкальскому краю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транспортного риска до 3,11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10 тысяч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2030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Информационная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безопасного участия детей в дорожном движении, совершенствование программ обучения детей и подростков правилам безопасного поведения на дорогах.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стационарных камер фотовидеофиксации нарушений правил дорожного движения регионального проекта «Общесистемные меры развития дорожного хозяйства».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смертность, 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5.2.2. Д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емонстрация социальных роликов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во время проведения родительских собраний на всех уровнях образования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повышению уровня информированности родителей (законных представителей) по вопросам обеспечения детской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ДТП, выпадения из окон, утопления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5.2.3. Разработка и распространение буклетов по вопросам профилактики ДТП, выпадения из окон, утопления родителям (законным представителям) в образовательных организациях, медицинских учреждениях, учреждениях культуры и спорта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Забайкальского края;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физической культуры и спорта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повышению уровня информированности родителей (законных представителей) по вопросам обеспечения детской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(профилактика ДТП, выпадения из окон, утопления)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 Снижение смертности детского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6.1. Работа с педагогическим составом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6.1.1. Организация курсов повышения квалификации для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педагогов и администрации образовательных организаций по вопросам детской безопасности, распознаванию кризисных ситуаций, оказанию первой помощи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специалистов образовательных организаций по вопросам детской безопасности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смертность, 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6.1.2. Организация проведения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чемпионат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по оказанию первой помощи для педагогов и старшеклассников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и знаний у педагогов и старшеклассников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значимости оказания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умения оперативно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реагировать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кризисные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6.1.3. Привлечение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волонтерских отрядов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учреждений среднего профессионального образования 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патрулированию на водных объектах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поведения на водных объектах, предотвращение происшествий и повышение уровня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Прочие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6.2.1. Увеличение количества отрядов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«Юных инспекторов движения»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детей и подростков навыков безопасного перехода дороги, соблюдения правил дорожного движения и ответственности за свои действия на улице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смертность, 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смертность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6.2.2. Создание игрового мобильного приложения для дошкольников и младших школьников «Съедобные Приключения» (о здоровом питании), о безопасности («Тигренок РРР: разведай, распознай, реагируй», «Безопасный маршрут»)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Забайкальского края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2026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навыкам безопасного поведения посредством информационных технологий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 Снижение смертности от заболеваний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7.1. Реализация региональных программ в рамках национального проекта «Продолжительная и активная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целевых показателей региональных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Общая смертность,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системы кровообращения,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новообразования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Реализация мероприятий в рамках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ar-SA"/>
              </w:rPr>
              <w:t xml:space="preserve">отраслевого инцидента </w:t>
              <w:br/>
              <w:t xml:space="preserve">№ 9 «Повышение эффективности управления системой мер по снижению смертности взрослого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численности населения на уровне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Общая смертность,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дыхания,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пищеварения,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системы кровообращения,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новообразования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спечение ведомственного контроля качества и безопасности медицинской деятельности в части проверки полноты и правильности ведения первичной медицинской документации, в том числе формулировок заключительных диагнозов и учета заболеваний по диспансерному наб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людению в соответствии с действующими НПА, а также инструктивными письмами Минздрава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Проведена проверка медицинских организаций  - 100% от плана.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Выполнена проверка 100% от запланированных объемов проверки первичной медицинской документации.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Выполнение плана по охвату специфической профилактикой (вакцинацией), в том числе от пневмококковой инфекции, лиц из групп риска, в том числе беременных, пациентов высокого риска с сердечно-сосудистыми заболеваниями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 по охвату специфической профилактикой (вакцинацией) выполнен на 100 %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Общая смертность,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болезни органов дыхания, инфекционные и паразитарные болезни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5619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 Прочие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31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строительства инженерных сооружений для защиты населенных пунктов Забайкальского края от затопления паводковыми водами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01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строительства, дорожного хозяйства и транспорта Забайкальского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ресурсов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2026-2030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защита от наводнений жилья и объектов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8" w:type="dxa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смертность, внешние причины,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инфекционные и паразитарные болезни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81900985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79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6" w:hanging="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6"/>
        <w:szCs w:val="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2" w:hanging="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5" w:hanging="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07" w:hanging="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50" w:hanging="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792" w:hanging="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335" w:hanging="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877" w:hanging="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420" w:hanging="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3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3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Title Char"/>
    <w:basedOn w:val="727"/>
    <w:link w:val="740"/>
    <w:uiPriority w:val="10"/>
    <w:rPr>
      <w:sz w:val="48"/>
      <w:szCs w:val="48"/>
    </w:rPr>
  </w:style>
  <w:style w:type="character" w:styleId="712">
    <w:name w:val="Subtitle Char"/>
    <w:basedOn w:val="727"/>
    <w:link w:val="742"/>
    <w:uiPriority w:val="11"/>
    <w:rPr>
      <w:sz w:val="24"/>
      <w:szCs w:val="24"/>
    </w:rPr>
  </w:style>
  <w:style w:type="character" w:styleId="713">
    <w:name w:val="Quote Char"/>
    <w:link w:val="744"/>
    <w:uiPriority w:val="29"/>
    <w:rPr>
      <w:i/>
    </w:rPr>
  </w:style>
  <w:style w:type="character" w:styleId="714">
    <w:name w:val="Intense Quote Char"/>
    <w:link w:val="746"/>
    <w:uiPriority w:val="30"/>
    <w:rPr>
      <w:i/>
    </w:rPr>
  </w:style>
  <w:style w:type="character" w:styleId="715">
    <w:name w:val="Footnote Text Char"/>
    <w:link w:val="878"/>
    <w:uiPriority w:val="99"/>
    <w:rPr>
      <w:sz w:val="18"/>
    </w:rPr>
  </w:style>
  <w:style w:type="character" w:styleId="716">
    <w:name w:val="Endnote Text Char"/>
    <w:link w:val="881"/>
    <w:uiPriority w:val="99"/>
    <w:rPr>
      <w:sz w:val="20"/>
    </w:r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717"/>
    <w:next w:val="717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27"/>
    <w:link w:val="740"/>
    <w:uiPriority w:val="10"/>
    <w:rPr>
      <w:sz w:val="48"/>
      <w:szCs w:val="48"/>
    </w:rPr>
  </w:style>
  <w:style w:type="paragraph" w:styleId="742">
    <w:name w:val="Subtitle"/>
    <w:basedOn w:val="717"/>
    <w:next w:val="717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27"/>
    <w:link w:val="742"/>
    <w:uiPriority w:val="11"/>
    <w:rPr>
      <w:sz w:val="24"/>
      <w:szCs w:val="24"/>
    </w:rPr>
  </w:style>
  <w:style w:type="paragraph" w:styleId="744">
    <w:name w:val="Quote"/>
    <w:basedOn w:val="717"/>
    <w:next w:val="717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7"/>
    <w:next w:val="717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27"/>
    <w:uiPriority w:val="99"/>
  </w:style>
  <w:style w:type="character" w:styleId="749" w:customStyle="1">
    <w:name w:val="Footer Char"/>
    <w:basedOn w:val="727"/>
    <w:uiPriority w:val="99"/>
  </w:style>
  <w:style w:type="paragraph" w:styleId="750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1" w:customStyle="1">
    <w:name w:val="Caption Char"/>
    <w:uiPriority w:val="99"/>
  </w:style>
  <w:style w:type="table" w:styleId="752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 w:customStyle="1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563c1" w:themeColor="hyperlink"/>
      <w:u w:val="single"/>
    </w:rPr>
  </w:style>
  <w:style w:type="paragraph" w:styleId="878">
    <w:name w:val="footnote text"/>
    <w:basedOn w:val="717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27"/>
    <w:uiPriority w:val="99"/>
    <w:unhideWhenUsed/>
    <w:rPr>
      <w:vertAlign w:val="superscript"/>
    </w:rPr>
  </w:style>
  <w:style w:type="paragraph" w:styleId="881">
    <w:name w:val="endnote text"/>
    <w:basedOn w:val="71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27"/>
    <w:uiPriority w:val="99"/>
    <w:semiHidden/>
    <w:unhideWhenUsed/>
    <w:rPr>
      <w:vertAlign w:val="superscript"/>
    </w:rPr>
  </w:style>
  <w:style w:type="paragraph" w:styleId="884">
    <w:name w:val="toc 1"/>
    <w:basedOn w:val="717"/>
    <w:next w:val="717"/>
    <w:uiPriority w:val="39"/>
    <w:unhideWhenUsed/>
    <w:pPr>
      <w:spacing w:after="57"/>
    </w:pPr>
  </w:style>
  <w:style w:type="paragraph" w:styleId="885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6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7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8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9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0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1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2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7"/>
    <w:next w:val="717"/>
    <w:uiPriority w:val="99"/>
    <w:unhideWhenUsed/>
    <w:pPr>
      <w:spacing w:after="0"/>
    </w:pPr>
  </w:style>
  <w:style w:type="paragraph" w:styleId="895">
    <w:name w:val="List Paragraph"/>
    <w:basedOn w:val="717"/>
    <w:uiPriority w:val="34"/>
    <w:qFormat/>
    <w:pPr>
      <w:contextualSpacing/>
      <w:ind w:left="720"/>
    </w:pPr>
  </w:style>
  <w:style w:type="table" w:styleId="896">
    <w:name w:val="Table Grid"/>
    <w:basedOn w:val="7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Header"/>
    <w:basedOn w:val="717"/>
    <w:link w:val="8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7"/>
    <w:link w:val="897"/>
    <w:uiPriority w:val="99"/>
  </w:style>
  <w:style w:type="paragraph" w:styleId="899">
    <w:name w:val="Footer"/>
    <w:basedOn w:val="717"/>
    <w:link w:val="9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27"/>
    <w:link w:val="899"/>
    <w:uiPriority w:val="99"/>
  </w:style>
  <w:style w:type="table" w:styleId="901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902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paragraph" w:styleId="903">
    <w:name w:val="Balloon Text"/>
    <w:basedOn w:val="717"/>
    <w:link w:val="9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27"/>
    <w:link w:val="90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0722-84B0-4837-98D9-0FCB79AB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Мария Владимировна</dc:creator>
  <cp:keywords/>
  <dc:description/>
  <cp:revision>57</cp:revision>
  <dcterms:created xsi:type="dcterms:W3CDTF">2025-05-12T16:03:00Z</dcterms:created>
  <dcterms:modified xsi:type="dcterms:W3CDTF">2026-01-19T08:18:27Z</dcterms:modified>
</cp:coreProperties>
</file>