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2499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2499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40pt;height:69.5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6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6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6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6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6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6"/>
        <w:jc w:val="center"/>
        <w:shd w:val="clear" w:color="auto" w:fill="ffffff"/>
        <w:rPr>
          <w:spacing w:val="-14"/>
        </w:rPr>
      </w:pPr>
      <w:r>
        <w:rPr>
          <w:spacing w:val="-14"/>
          <w:sz w:val="35"/>
          <w:szCs w:val="35"/>
        </w:rPr>
        <w:t xml:space="preserve">ПОСТАНОВЛЕНИЕ</w:t>
      </w:r>
      <w:r>
        <w:rPr>
          <w:spacing w:val="-14"/>
        </w:rPr>
      </w:r>
      <w:r>
        <w:rPr>
          <w:spacing w:val="-14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hd w:val="clear" w:color="auto" w:fill="ffffff"/>
        <w:rPr>
          <w:spacing w:val="-14"/>
          <w:sz w:val="6"/>
          <w:szCs w:val="6"/>
        </w:rPr>
      </w:pPr>
      <w:r>
        <w:rPr>
          <w:spacing w:val="-6"/>
          <w:sz w:val="35"/>
          <w:szCs w:val="35"/>
        </w:rPr>
        <w:t xml:space="preserve">г. Чита</w:t>
      </w:r>
      <w:bookmarkEnd w:id="0"/>
      <w:r>
        <w:rPr>
          <w:spacing w:val="-14"/>
          <w:sz w:val="6"/>
          <w:szCs w:val="6"/>
        </w:rPr>
      </w:r>
      <w:r>
        <w:rPr>
          <w:spacing w:val="-14"/>
          <w:sz w:val="6"/>
          <w:szCs w:val="6"/>
        </w:rPr>
      </w:r>
    </w:p>
    <w:p>
      <w:pPr>
        <w:pStyle w:val="906"/>
        <w:jc w:val="both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6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6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6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6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6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6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6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Правительства Забайкальского края </w:t>
      </w:r>
      <w:r>
        <w:rPr>
          <w:b/>
          <w:sz w:val="28"/>
          <w:szCs w:val="28"/>
        </w:rPr>
        <w:t xml:space="preserve">от 13 сентября 2024 года № 460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6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r>
    </w:p>
    <w:p>
      <w:pPr>
        <w:pStyle w:val="90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изменения, которые вносятся                                      в постановление Правительства Забайкальского края от 13 сентября                              2024 год</w:t>
      </w:r>
      <w:r>
        <w:rPr>
          <w:sz w:val="28"/>
          <w:szCs w:val="28"/>
        </w:rPr>
        <w:t xml:space="preserve">а № 460 «Об утверждении Порядка предоставления в 2024-2027 годах субсидии из бюджета Забайкальского края на частичное финансовое обеспечение затрат работодателя, связанных с реализацией мероприятий по организации среднего профессионального образования ищущих работу граждан».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2. Назначить ответственным за исполнение настоящего постановления руководителя Департамента труда и занятости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/>
      <w:bookmarkStart w:id="1" w:name="sub_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Б</w:t>
      </w:r>
      <w:r>
        <w:rPr>
          <w:sz w:val="28"/>
          <w:szCs w:val="28"/>
        </w:rPr>
        <w:t xml:space="preserve">.Б.</w:t>
      </w:r>
      <w:bookmarkEnd w:id="1"/>
      <w:r>
        <w:rPr>
          <w:sz w:val="28"/>
          <w:szCs w:val="28"/>
        </w:rPr>
        <w:t xml:space="preserve"> 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right"/>
        <w:rPr>
          <w:sz w:val="16"/>
          <w:szCs w:val="16"/>
        </w:rPr>
      </w:pPr>
      <w:r>
        <w:rPr>
          <w:sz w:val="28"/>
          <w:szCs w:val="28"/>
        </w:rPr>
        <w:br w:type="page" w:clear="all"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6"/>
        <w:ind w:left="5103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Правительства 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         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both"/>
      </w:pPr>
      <w:r/>
      <w:r/>
    </w:p>
    <w:p>
      <w:pPr>
        <w:pStyle w:val="933"/>
        <w:jc w:val="both"/>
      </w:pPr>
      <w:r/>
      <w:r/>
    </w:p>
    <w:p>
      <w:pPr>
        <w:pStyle w:val="906"/>
        <w:ind w:firstLine="0"/>
        <w:jc w:val="center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ИЗМЕНЕНИЯ,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постановление Правительства забайкальского края </w:t>
      </w:r>
      <w:r>
        <w:rPr>
          <w:b/>
          <w:sz w:val="28"/>
          <w:szCs w:val="28"/>
        </w:rPr>
        <w:t xml:space="preserve">от 13 сентября 2024 года № 460</w:t>
      </w:r>
      <w:r>
        <w:rPr>
          <w:b/>
          <w:sz w:val="28"/>
          <w:szCs w:val="28"/>
        </w:rPr>
        <w:t xml:space="preserve"> «Об утверждении Порядка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в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-2027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ах</w:t>
      </w:r>
      <w:r>
        <w:rPr>
          <w:b/>
          <w:sz w:val="28"/>
          <w:szCs w:val="28"/>
        </w:rPr>
        <w:t xml:space="preserve"> субсиди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 бюджета Забайкальского края на </w:t>
      </w:r>
      <w:r>
        <w:rPr>
          <w:b/>
          <w:sz w:val="28"/>
          <w:szCs w:val="28"/>
        </w:rPr>
        <w:t xml:space="preserve">частичное </w:t>
      </w:r>
      <w:r>
        <w:rPr>
          <w:b/>
          <w:sz w:val="28"/>
          <w:szCs w:val="28"/>
        </w:rPr>
        <w:t xml:space="preserve">финансовое </w:t>
      </w:r>
      <w:r>
        <w:rPr>
          <w:b/>
          <w:sz w:val="28"/>
          <w:szCs w:val="28"/>
        </w:rPr>
        <w:t xml:space="preserve">обеспечение</w:t>
      </w:r>
      <w:r>
        <w:rPr>
          <w:b/>
          <w:sz w:val="28"/>
          <w:szCs w:val="28"/>
        </w:rPr>
        <w:t xml:space="preserve"> затрат</w:t>
      </w:r>
      <w:r>
        <w:rPr>
          <w:b/>
          <w:sz w:val="28"/>
          <w:szCs w:val="28"/>
        </w:rPr>
        <w:t xml:space="preserve"> работодателя</w:t>
      </w:r>
      <w:r>
        <w:rPr>
          <w:b/>
          <w:sz w:val="28"/>
          <w:szCs w:val="28"/>
        </w:rPr>
        <w:t xml:space="preserve">, связанных с реализацией мероприятий по организации среднего профессионального образования </w:t>
      </w:r>
      <w:r>
        <w:rPr>
          <w:b/>
          <w:sz w:val="28"/>
          <w:szCs w:val="28"/>
        </w:rPr>
        <w:t xml:space="preserve">ищущих работу</w:t>
      </w:r>
      <w:r>
        <w:rPr>
          <w:b/>
          <w:sz w:val="28"/>
          <w:szCs w:val="28"/>
        </w:rPr>
        <w:t xml:space="preserve"> граждан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contextualSpacing/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Порядок предоставления субсидии из бюджета Забайкальского края на финансовое обеспечение и (или) возмещение части затрат работодателя по организации среднего профессионального образования ищущих работу граждан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06"/>
        <w:ind w:left="5103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«У</w:t>
      </w:r>
      <w:r>
        <w:rPr>
          <w:sz w:val="28"/>
          <w:szCs w:val="28"/>
        </w:rPr>
        <w:t xml:space="preserve">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4962"/>
        <w:jc w:val="center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  <w:t xml:space="preserve">Правительства Забайкальского края                                (в редакции постановления                                                Правительства                         Забайкальского края)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ПОРЯДОК </w:t>
      </w:r>
      <w:r>
        <w:rPr>
          <w:b/>
          <w:bCs/>
          <w:sz w:val="28"/>
          <w:szCs w:val="28"/>
          <w:highlight w:val="none"/>
        </w:rPr>
      </w:r>
      <w:r/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предоставления в 2024-2027 годах субсидии из бюджета Забайкальского края на частичное финансовое обеспечение затрат работодателя, связанных с реализацией мероприятий по организации среднего профессионального образования ищущих работу граждан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6"/>
        <w:ind w:firstLine="0"/>
        <w:jc w:val="center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1. Общие положения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numPr>
          <w:ilvl w:val="0"/>
          <w:numId w:val="20"/>
        </w:numPr>
        <w:ind w:left="0" w:firstLine="709"/>
        <w:jc w:val="both"/>
        <w:rPr>
          <w:rStyle w:val="939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категории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 государственных (муниципальных) учреждений), индивидуальных предпринимателей, имеющих право на получение субсидии из бюджета Забайкальского края на частичное финансовое обеспечение затрат на реализацию мероприятий по организации среднего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обучение)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ищущих работу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39"/>
          <w:rFonts w:ascii="Times New Roman" w:hAnsi="Times New Roman" w:eastAsia="Calibri" w:cs="Times New Roman"/>
          <w:sz w:val="28"/>
          <w:szCs w:val="28"/>
        </w:rPr>
        <w:t xml:space="preserve">обратившихся в органы службы занятости Забайкальского края (далее соответственно – граждане, субсидия), цели, условия и порядок предоставления субсидии, результа</w:t>
      </w:r>
      <w:r>
        <w:rPr>
          <w:rStyle w:val="939"/>
          <w:rFonts w:ascii="Times New Roman" w:hAnsi="Times New Roman" w:eastAsia="Calibri" w:cs="Times New Roman"/>
          <w:sz w:val="28"/>
          <w:szCs w:val="28"/>
        </w:rPr>
        <w:t xml:space="preserve">ты ее предоставления, порядок возврата субсидии в бюджет Забайкальского края в случае нарушения условий, установленных при ее предоставлении, случаи и порядок возврата в текущем финансовым году остатков субсидии, не использованных в отчетном финансовом год</w:t>
      </w:r>
      <w:r>
        <w:rPr>
          <w:rStyle w:val="939"/>
          <w:rFonts w:ascii="Times New Roman" w:hAnsi="Times New Roman" w:eastAsia="Calibri" w:cs="Times New Roman"/>
          <w:sz w:val="28"/>
          <w:szCs w:val="28"/>
        </w:rPr>
        <w:t xml:space="preserve">у, а также регламентируют положения об осуществлении в отношении получателей субсидии и лиц, указанных в пункте 5 статьи 78 бюджетного кодекса Российской Федерации, проверок Департамента труда и занятости Забайкальского края (далее – Департамент) соблюдени</w:t>
      </w:r>
      <w:r>
        <w:rPr>
          <w:rStyle w:val="939"/>
          <w:rFonts w:ascii="Times New Roman" w:hAnsi="Times New Roman" w:eastAsia="Calibri" w:cs="Times New Roman"/>
          <w:sz w:val="28"/>
          <w:szCs w:val="28"/>
        </w:rPr>
        <w:t xml:space="preserve">я ими порядка и условий предоставления субсидий, в том числе в части достижения результатов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  <w:r>
        <w:rPr>
          <w:rStyle w:val="939"/>
          <w:rFonts w:ascii="Times New Roman" w:hAnsi="Times New Roman" w:cs="Times New Roman"/>
          <w:sz w:val="28"/>
          <w:szCs w:val="28"/>
          <w:shd w:val="clear" w:color="auto" w:fill="auto"/>
        </w:rPr>
      </w:r>
      <w:r>
        <w:rPr>
          <w:rStyle w:val="939"/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Субсидия предоставляется из бюджета Забайкальского края в пределах бюджетных ассигнований, предусмотренных </w:t>
      </w:r>
      <w:hyperlink r:id="rId13" w:tooltip="Закон Забайкальского края от 27.12.2023 N 2303-ЗЗК (ред. от 20.12.2024) &quot;О бюджете Забайкальского края на 2024 год и плановый период 2025 и 2026 годов&quot; (принят Законодательным Собранием Забайкальского края 25.12.2023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Забайкальского края от 27 декабря 2023 года № 2303-ЗЗК «О бюджете Забайкальского края на 2024 год и плановый период 2025 и 2026 годов»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Забайкальского края от 24 декабря 2024 года № 2613-ЗЗК «О бюджете Забайкальского края на 2026 год и плановый период 2027 и 2028 годов», и лимитов бюджетных обязательств, утвержденных в установленном порядке на предоставление субсидии.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Целью предоставления субсидии явля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ется частичное финансовое обеспечение затрат работодателя, связанных с реализацией мероприятий по обучению граждан в рамках комплекса процессных мероприятий «Активная политика занятости населения и социальная поддержка безработных граждан» государственной </w:t>
      </w:r>
      <w:hyperlink r:id="rId14" w:tooltip="Постановление Правительства Забайкальского края от 01.08.2014 N 457 (ред. от 22.04.2025) &quot;Об утверждении государственной программы Забайкальского края &quot;Содействие занятости населения&quot;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Забайкальского края «Содействие занятости населения», утвержденной постановлением Правительства Забайкальского края от 1 августа 2014 года № 457, а также в целях повышения обеспеченности Забайкальского края квалифицированными трудовыми ресурсами.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Субсидия предоставляется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осуществляющим функции главного распорядителя бюджетных средст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в, до которого в соответствии с бюджетным законодательством Российской Федерации как получа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Государственное казенное учреждение «Краевой центр занятости населения» Забайкальского края (далее - Центр занятости) является уполномоченной организацией, осуществляющей функции по: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приему предложений и документов на отбор по предоставлению субсидий;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рассмотрению предложений на получение субсидий;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проверке соответствия предложений критериям и требованиям, указанным в настоящем Порядке;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формированию соглашения о предоставлении субсидии (далее - Соглашение)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Направлением расходов, на которые предоставляется субсидия, является организация обучения граждан, которая включает в себя: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платные образовательные услуги по реализации образовательных программ среднего профессионального образования;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плату за квалификационные экзамены при получении поднадзорных профессий;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проезд к месту обучения и обратно.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Сведени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Результатом предоставления субсидии является увеличение общего числа граждан, получивших среднее профессиональное образование, на значение от 150 человек.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Характеристиками результата предоставления субсидии являются: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получение гражданином диплома о среднем профе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ссиональном образовании установленного образца, по состоянию на 31 июля 2027 года или иную дату окончания обучения, установленную в соответствии с учебным планом, при условии даты начала обучения в период реализации мероприятий в рамках настоящего Порядка;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уровень трудоустроенных (сохранивших занятость) граждан по истечении одного месяца после завершения обучения, источником финансирования которого стала субсидия, не менее 80%.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9. К категории получателей субсидии в рамках настоящего Порядка относятся юридические лица (за исключение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государственных (муниципальных) учреждений), индивидуальные предприниматели (далее также - работодатели, участники отбора, победители отбора, получатели субсидии), соответствующие на даты рассмотрения заявки и заключения Соглашения следующим требованиям: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не являются иностранным юридическим лицом, в том числе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не находятся в составляемых в рамках реализации полномочий, предусмотренных </w:t>
      </w:r>
      <w:hyperlink r:id="rId1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не являются иностранным агентом в соответствии с Федеральным </w:t>
      </w:r>
      <w:hyperlink r:id="rId16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в реестре дисквалифицированных лиц отсутствуют сведения о дисквалиф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не получают средства из бюджета Забайкальского края на основании иных нормативных правовых актов Забайкальского края на цели, установленные настоящим Порядком;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участник отбор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отсутствует просроченная задолженность по возврату в бюджет Забайкальского края иных субсидий, бюджетных инвестиций, а также иная просроченная (неурегулированная) задолженность по денежным обязательствам перед Забайкальским краем.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Условия предоставления субсидии: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заключение Соглашения;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запрет приобретения получателями субсидий - юридическими лицами, а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акже иными юридическими лицами, получающими средства на основании договоров, заключенных с получателями субсидий, за счет полученных из бюджета Забайкальского края средств иностранной валюты, за исключением операций, осуществляемых в соответствии с валютны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согласие получателя субсидии и лиц, указанных в </w:t>
      </w:r>
      <w:hyperlink r:id="rId17" w:tooltip="&quot;Бюджетный кодекс Российской Федерации&quot; от 31.07.1998 N 145-ФЗ (ред. от 31.07.2025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5 статьи 78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Бюджетного кодекса Российской Федерации, на осуществление Департаментом и органами финансового контроля проверок, предусмотренных </w:t>
      </w:r>
      <w:hyperlink w:tooltip="50. В отношении получателей субсидии и лиц, указанных в пункте 5 статьи 78 Бюджетного кодекса Российской Федерации, осуществляются следующие проверки:" w:anchor="P229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50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Размер субсидии (S) на финансовое обеспечение затрат одного работодателя на реализацию мероприятий по организации обучения граждан на один учебный год рассчитывается по формуле: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center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S = С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общ.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x 80 %, где: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общ.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общая стоимость организации обучения из расчета на одного обучающегося по программам среднего профессионального образования за один учебный год.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20 % - затраты работодателя и затраты гражданина от общей стоимости организации обучения из расчета на одного обучающегося по программам среднего профессионального образования за один учебный год.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2. Порядок проведения отбора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Отбор получ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ателей субсидии осуществляется способом запроса предложений исходя из соответствия участников отбора категории, установленной настоящим Порядком, и очередности поступления заявок участников отбора на участие в отборе (далее соответственно - заявка, отбор).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Отбор осуществляетс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государственной интегрированной информационной системе управления общественными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Электронный бюджет» (далее - система «Электронный бюджет») посредством «Портала предоставления мер финансовой государственной поддержки» (</w:t>
      </w:r>
      <w:hyperlink r:id="rId18" w:tooltip="https://promote.budget.gov.ru/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https://promote.budget.gov.ru/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)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 передает полномочия по проведению отбора (за исключением полномочий по размещению объявления о проведении отбора и утверждению протокола подведения итогов отбора) Центру занятости.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Взаимодействие Департамента, Центра занятости с участниками отбора осуществляется в системе «Электронный бюджет» с использованием документов в электронной форме.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Объявление о проведении отбора Департаментом (далее - объявление) размещается на едином портале не позднее 5-го календарного дня до дня начала приема заявок после подписания и публикации на едином портале информации о субсидии.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Объявление формируется в электронной форме посредством заполнения соотве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или уполномоченного им лица, публикуется на едином портале и включает в себя следующую информацию: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способ и сроки проведения отбора;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дату и время начала подачи заявок, а также дату и время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наименование, место нахождения, почтовый адрес, адрес электронной почты, контактный телефон Центра занятости;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результат предоставления субсидий;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требования к участникам отбора;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порядок подачи участниками отбора заявок и требования, предъявляемые к содержанию заявок;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порядок отзыва заявок, порядок внесения изменений в заявки;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порядок рассмотрения заявок на предмет их соответствия установленным в объявлении требованиям и категории, сроки рассмотрения заявок;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 порядок возврата заявок участникам отбора на доработку, определяющий в том числе основания для возврата заявок на доработку;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11) порядок предоставления участникам отбора разъяснений положений объявления, даты начала и окончания срока такого предоставления;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12) объем распределяемой субсидии в рамках отбора, порядок расчета размера субсидии;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13) срок, в течение которого победитель отбора должен подписать Соглашение;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14) условия признания победителя отбора уклонившимся от заключения Соглашения;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15) сроки размещения протокола подведения итогов отбора на едином портале, при необходимости на официальном сайте Департамента, которые не могут быть позднее 14-го календарного дня, следующего за днем определения победителя (победителей отбора).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участию в отборе допускаются юридические лица и индивидуальные предприниматели, соответствующие требованиям, указанным в объявлении.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 Департамент вправе принять решение об отмене проведения отбора, которое размещается на едином портале не позднее чем за один рабочий день до даты окончания срока подачи заявок участниками отбора.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 Объявление об отмене отбора формируется в электронной форме посредством заполнения соответствующи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экранных форм веб-интерфейса системы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«Электронный бюджет»,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подписывается усиленной квалифицированной электронной подписью руководителя Департамента или уполномоченного им лица, размещается на едином портале и содержит информацию о причинах отмены отбора.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 Участники отбора, подавшие заявки, информируются об отмене проведения отбора в систем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«Электронный бюджет».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 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окончания срока отмены проведения отбора и до заключения Соглашения с победителем (победителями) отбора Департамент может отменить отбор в случае отзыва лимита и возникновения обстоятельств непреодолимой силы в соответствии с </w:t>
      </w:r>
      <w:hyperlink r:id="rId19" w:tooltip="&quot;Гражданский кодекс Российской Федерации (часть первая)&quot; от 30.11.1994 N 51-ФЗ (ред. от 31.07.2025) (с изм. и доп., вступ. в силу с 01.08.2025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 В течение текущего финансового года по мере необходимости Департамент вправе объявлять о проведении дополнительного отбора.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 Для участия в отборе, в том числе для подтверждения соответствия работодателя категории, требованиям, указанным в </w:t>
      </w:r>
      <w:hyperlink w:tooltip="9. К категории получателей субсидии в рамках настоящего Порядка относятся юридические лица (за исключением государственных (муниципальных) учреждений), индивидуальные предприниматели (далее также - работодатели, участники отбора, победители отбора, получатели субсидии), соответствующие на даты рассмотрения заявки и заключения Соглашения следующим требованиям:" w:anchor="P68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9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работодатель представляет в Центр занятости заявку в соответствии с требованиями и сроками, указанными в объявлении в электронной форме, посредством запол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нения соответствующих экранных форм веб-интерфейса системы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«Электронный бюджет» и представления в систему «Электронный бюджет» следующих электронных копий документов (д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документы, подтверждающие полномочия лица, действующего от имени работодателя (в случае представления документов для получения субсидии лицом, не являющимся руководителем юридического лица (индивидуальным предпринимателем));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гарантийное письмо о соответствии требованиям, указанным в </w:t>
      </w:r>
      <w:hyperlink w:tooltip="9. К категории получателей субсидии в рамках настоящего Порядка относятся юридические лица (за исключением государственных (муниципальных) учреждений), индивидуальные предприниматели (далее также - работодатели, участники отбора, победители отбора, получатели субсидии), соответствующие на даты рассмотрения заявки и заключения Соглашения следующим требованиям:" w:anchor="P68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9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 (в произвольной форме);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информацию о расчетном или корреспондентском счете, открытом работодателем в учреждении Центрального банка Российской Федерации или кредитной организации, на который в случае принятия решения о предоставлении субсидии будут перечислены средства субсидии;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подтверждение согласия на публикацию (раз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мещение) в информационно-телекоммуникационной сети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«Интернет» 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ормации об участнике отбора, о подаваемой участником отбора заявке, а также иной информации об участнике отбора, связанной с отбором получателя субсидии и результатом предоставления субсидии.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21. Заявка подписывается усиленной квалифицированной электронной подписью руководителя юридического лица, индивидуального предпринимателя или уполномоченных ими лиц.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стеме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«Электронный бюджет».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22. Любой участник отбора со дня размещения объявления о проведении отбора на едином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ртале не позднее третьего рабочего дня до дня завершения подачи заявок вправе направить в Департамент не более пяти запросов о разъяснении положений объявления о проведении отбора путем формирования в систем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«Электронный бюджет» соответствующего запроса.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 в ответ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запрос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разъяснении направляет разъяснение положений объявления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Представленное Департаментом разъяснение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Доступ к разъяснению, формируемому в системе «Электронный бюджет»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абзацем вторым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пункта, предоставляется всем участникам отбора.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23. Участник отбора, подавший заявку до дня окончания срока приема заявок, указанного в объявлении, вправе внести в нее изменения путем формирования в электронной форме уведомления об отзыве заявки и последующего формирования новой заявки.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Изменения к заявке после предоставления их в установленном порядке становятся неотъемлемой частью заявки.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24. Участник отбора до наступления даты окончания срока приема заявок, указанного в объявлении, вправе отозвать заявку путем формирования в электронной форме уведомления об отзыве заявки.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25. Не позднее одного рабочего дня, следующего за днем окончания срока подачи заявок, установленного в объявлении, в системе «Электронный бюджет», Центру занятости и Департаменту открывается доступ к заявкам для их рассмотрения.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26. Департамент не позднее одного рабочего дня, следующего за днем вскрытия заявок, установленного в объявлении, подписывает протокол вскрытия заявок, содержащий следующую информацию о поступивших для участия в отборе заявках: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регистрационный номер заявки;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дата и время поступления заявки;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полное наименование участника отбора для юридических лиц или фамилия, имя, отчество (при наличии) для индивидуальных предпринимателей;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адрес юридического лица;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запрашиваемый участником отбора размер субсидии.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27. Протокол вскрытия заявок формируется на едином портале автоматическ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и подписывается усиленной квалифицированной электронной подписью руководителя Департамента или уполномоченного им лица в системе «Электронный бюджет», а также размещается на едином портале не позднее 1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28. Центр занятости в течение 15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рабочих дней со дня окончания срока приема заявок, указанного в объявлении о проведении отбора, и открытия в системе «Электронный бюджет» доступа к заявкам для их рассмотрения рассматривает их, проверяет полноту и достоверность содержащихся в них сведений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Проверка участника отбора на соответствие требованиям, указанным в </w:t>
      </w:r>
      <w:hyperlink w:tooltip="9. К категории получателей субсидии в рамках настоящего Порядка относятся юридические лица (за исключением государственных (муниципальных) учреждений), индивидуальные предприниматели (далее также - работодатели, участники отбора, победители отбора, получатели субсидии), соответствующие на даты рассмотрения заявки и заключения Соглашения следующим требованиям:" w:anchor="P68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пункте 9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настоящего Порядка, осуще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в </w:t>
      </w:r>
      <w:hyperlink w:tooltip="9. К категории получателей субсидии в рамках настоящего Порядка относятся юридические лица (за исключением государственных (муниципальных) учреждений), индивидуальные предприниматели (далее также - работодатели, участники отбора, победители отбора, получатели субсидии), соответствующие на даты рассмотрения заявки и заключения Соглашения следующим требованиям:" w:anchor="P68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пункте 9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настоящего Порядка, не требуется в случае наличия соответствующей информации в государственных информационных системах, доступ к которым у Центра занятости имеется в рамках межведомственного электронного взаимодействия.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в </w:t>
      </w:r>
      <w:hyperlink w:tooltip="9. К категории получателей субсидии в рамках настоящего Порядка относятся юридические лица (за исключением государственных (муниципальных) учреждений), индивидуальные предприниматели (далее также - работодатели, участники отбора, победители отбора, получатели субсидии), соответствующие на даты рассмотрения заявки и заключения Соглашения следующим требованиям:" w:anchor="P68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пункте 9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настоящего Порядка, в случае отсутствия технической возможности осуществления автоматической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проверки в системе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Центр занятости не вправе требовать от участника отбора предоставления документов и информации в целях подтверждения соответствия его требованиям, указанным в </w:t>
      </w:r>
      <w:hyperlink w:tooltip="9. К категории получателей субсидии в рамках настоящего Порядка относятся юридические лица (за исключением государственных (муниципальных) учреждений), индивидуальные предприниматели (далее также - работодатели, участники отбора, победители отбора, получатели субсидии), соответствующие на даты рассмотрения заявки и заключения Соглашения следующим требованиям:" w:anchor="P68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9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при наличии соответствующей информации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государственных информационных системах, доступ к которым у Центра занятости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29. В случаях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 и информации, Центром занятости осуществляется запрос у участника отбора разъяснения в отношении документов и информации (далее - запрос) с использованием системы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запросе Центр занятости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 отбора формирует и представляет в систему «Электронный бюджет» документы и информацию, указанные в запросе, в сроки, установленные запросом.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30. На стадии рассмотрения заявки Центр занятости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 признании заявки надлежащей. Решение о соответствии заявки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требованиям, указанным в объявлении, принимается Центром занятости единожды на дату получения результатов проверки представленных участником отбора информации и документов, поданных в составе заявки, по результатам автоматической проверки в соответствии с </w:t>
      </w:r>
      <w:hyperlink w:tooltip="28. Центр занятости в течение 15 рабочих дней со дня окончания срока приема заявок, указанного в объявлении о проведении отбора, и открытия в системе &quot;Электронный бюджет&quot; доступа к заявкам для их рассмотрения рассматривает их, проверяет полноту и достоверность содержащихся в них сведений." w:anchor="P145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28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Порядка. Заявка признается надлежащей, если она соответствует требованиям, указанным в объявлении, и при отсутствии оснований для отклонения заявки;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о возврате заявки на доработку.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31. На стадии рассмотрения заявки основаниями: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для отклонения заявки являются: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несоответствие участника отбора требованиям, указанным в </w:t>
      </w:r>
      <w:hyperlink w:tooltip="9. К категории получателей субсидии в рамках настоящего Порядка относятся юридические лица (за исключением государственных (муниципальных) учреждений), индивидуальные предприниматели (далее также - работодатели, участники отбора, победители отбора, получатели субсидии), соответствующие на даты рассмотрения заявки и заключения Соглашения следующим требованиям:" w:anchor="P68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9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непредставление (представление не в полном объеме) документов, указанных в объявлении;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несоответствие представленных участником отбора заявок и (или) документов требованиям, установленным в объявлении;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установленным требованиям;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для возврата заявки на доработку являются: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недостоверность представленной информации о месте нахождения и адресе юридического лица;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незаполнение (заполнение не в полном объеме) форм документов либо заполнение форм документов частично;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 возврате заявки на доработку принимается Центром занятости в равной мере ко всем участникам отбора, при рассмотрении заявок котор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ых выявлены основания для отклонения заявки и о возврате заявки на доработку, и доводится до участников отбора с использованием системы «Электронный бюджет» в течение 1 рабочего дня со дня его принятия с указанием положений заявки, нуждающихся в доработке.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Центр занятости.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Рассмотрение заявки после доработки осуществляется Центром занятости в порядке, определенном </w:t>
      </w:r>
      <w:hyperlink w:tooltip="30. На стадии рассмотрения заявки Центр занятости принимает одно из следующих решений:" w:anchor="P154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30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бедителями отбора признаются участники отбора, включенные в рейтинг, сформированный Центром занятости по результатам ранжирования поступивших заявок в пределах объема распределяемой субсидии, указанного в объявлении.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33. Ранжирование поступивших заявок осуществляется исходя из соответствия участников отбора категории и очередности их поступления.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завершения отбора и определения победителей отбора Департаментом в течение 3 рабочих дней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окончания срока рассмотрения заявок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подведения итогов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ектронной подписью руководителя Департамента или уполномоченного им лица в системе «Электронный бюджет» в течение одного рабочего дня со дня его формирования,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34. Вне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35. Субсидия, распределяемая в рамках отбора, распределяется между участниками отбора, включенными в рейтинг, следующим способом: каждому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36. По итогам подведения итогов отбора и распределения субсидии Департамент в течение 3 рабочих дней со дня размещения протокола подведения итогов на едином портале принимает решение о предоставлении субсидии.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37. Отбор признается несостоявшимся в следующих случаях: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 окончании срока подачи заявок подана только одна заявка;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2) по результатам рассмотрения заявок только одна заявка соответствует требованиям, установленным в объявлении;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 окончании срока подачи заявок не подано ни одной заявки;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по результатам рассмотрения заявок отклонены все заявки.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признания отбора несостоявшимся на основании </w:t>
      </w:r>
      <w:hyperlink w:tooltip="2) по результатам рассмотрения заявок только одна заявка соответствует требованиям, установленным в объявлении;" w:anchor="P183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подпункта 2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пункта Соглашение заключается с участником отбора, заявка которого признана соответствующей требованиям, установленным в объявлении.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 Порядок предоставления субсидии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38. В случае принятия решения о предоставлении субсидии Департамент заключает с получателем субсидии Соглашение в системе «Электронный бюджет».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ние, а также дополнительные соглашения к Соглашению, в том числе соглашение о расторжении Соглашения (при необходимости) заключаются в соответствии с типовой формой, установленной Министерством финансов Забайкальского края, в системе «Электронный бюджет»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Соглашении предусматриваются: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обязательные условия предоставления субсидии, включенные в Соглашение в соответствии со </w:t>
      </w:r>
      <w:hyperlink r:id="rId20" w:tooltip="&quot;Бюджетный кодекс Российской Федерации&quot; от 31.07.1998 N 145-ФЗ (ред. от 31.07.2025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статьей 78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Бюджетного кодекса Российской Федерации, в том числе условие о согласии получателей субсидии и лиц, указанных в </w:t>
      </w:r>
      <w:hyperlink r:id="rId21" w:tooltip="&quot;Бюджетный кодекс Российской Федерации&quot; от 31.07.1998 N 145-ФЗ (ред. от 31.07.2025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5 статьи 78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Бюджетного кодекса Российской Федерации, на осуществление Департаментом и органами государственного финансового контроля проверок, предусмотренных </w:t>
      </w:r>
      <w:hyperlink w:tooltip="50. В отношении получателей субсидии и лиц, указанных в пункте 5 статьи 78 Бюджетного кодекса Российской Федерации, осуществляются следующие проверки:" w:anchor="P229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50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условия о согласовании новых условий Соглашения или о расторжен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Соглашения при недостижении согласия по новым условиям в случае уменьшения Департаменту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реквизиты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подлежат перечислению субсидии;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результат предоставления субсидии;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сроки предоставления получателем субсидии отчетности о достижении значений результатов предоставления субсидии, а также сроки и формы представления получателями субсидии дополнительной отчетности (при необходимости);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запрет приобретения получателем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убсидии - юридическим лицом, а также иным юридическим лицом, получающим средства на основании договоров, заключенных с получателями субсидии, за счет полученных средств иностранной валюты, за исключением операций, осуществляемых в соответствии с валютным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определенных настоящим Порядком.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реорганизации получателя субсидий, являющегося юридическим лицом, в форме разделения, выделения, а также при ликвидации получателя субсидий, являющегося юридиче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абзацем вторым пункта 5 статьи 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исполнении обязательств по Соглашению с отражением информации о неисполненных получателем субсидий обязательствах, источником финансового обеспечения которых являются субсидии, и возврате неиспользованного остатка субсидий в бюджет Забайкальского края.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39. Заключение Соглашения осуществляется в следующем порядке и сроки: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1) Департамент после формирования протокола подведения итогов в течение текущего финансового года, но не позднее 24 декабря, направляет получателю субсидии соответствующее уведомление о формировании в системе «Электронный бюджет» Соглашения;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победитель отбора в течение 10 рабочих дней со дня получения уведомления, предусмотренного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пункта, осуществляет подписание Соглашения в системе «Электронный бюджет» усиленной квалифицированной электронной подписью юридического лица, индивидуального предпринимателя или уполномоченных ими лиц;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Департамент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системе «Электронный бюджет».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40. Победитель отбора признается уклонившимся от заключения Соглашения, если победитель отбора не подписал Соглашение в течение указанного в объявлении срока на подписание в системе «Электронный бюджет» и не направил возражения по проекту Соглашения.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41. Департамент отказывается от заключения Соглашения с получателем субсидии в случае установления факта несоответствия получателя субсидии требованиям, указанным в объявлении, или представления получателем недостоверной информации.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42. В случае отказа Департамента от заключения Соглашения с получателем субсидии по основаниям, предусмотренным </w:t>
      </w:r>
      <w:hyperlink w:tooltip="41. Центр занятости отказывается от заключения Соглашения с получателем субсидии в случае установления факта несоответствия получателя субсидии требованиям, указанным в объявлении, или представления получателем недостоверной информации." w:anchor="P207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41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отказа победителя отбора от заключения Соглашения, неподписания победителем отбора Соглашения в срок, определенный объявлени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ем, Департамент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 ее предоставления.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43. После подписания Согла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шения в течение 2 рабочих дней Департамент составляет заявку на финансирование в пределах лимитов бюджетных обязательств, утвержденных в установленном порядке на предоставление субсидии на соответствующий финансовый год.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44. Департамент представляет заявку на финансирование, указанную в пункте 43 настоящего Порядка, в Министерство финансов Забайкальского края в течение 3 рабочих дней после подписания Соглашения.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45. Министерство финансов Забайкальского края на основании заявки Департамента, указанной в </w:t>
      </w:r>
      <w:hyperlink w:tooltip="43. После подписания Соглашения в течение 5 рабочих дней Центр занятости составляет заявку на финансирование в пределах лимитов бюджетных обязательств, утвержденных в установленном порядке на предоставление субсидии на соответствующий финансовый год, и направляет ее в Министерство." w:anchor="P209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43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в установленном порядке перечисляет бюджетные средства на лицевой счет Министерства в соответствии с утвержденным кассовым планом.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46. Департамент после поступления средств, указанных в пункте 45 настоящего Порядка, но не позднее 10-го рабочего дня, следующего за дн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 принятия Департаментом решения о предоствлении субсидии, перечисляет средства субсидии работодателям на расчетные или корресподентские счета, открытые получателям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47. В случае уменьшения в течение финансового года бюджетных ассигнований на предоставление субсидии, приводящего к невозможности предоставлени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субсидии в размере, определенном в Соглашении, Департамент в течение 5 рабочих дней со дня доведения указанных лимитов согласовывает с получателем субсидии новые условия Соглашения. При недостижении согласия по новым условиям Соглашение расторгается.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48. Получатель субсидии не позднее 15-го числа месяца, следующего за отчетным кварталом, предоставляет в Департамент: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отчет о достижении значений результата предоставления субсидии, а также его характеристик, определенных Соглашением;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отчет об осуществлении расходов, источником финансового обеспечения которых является субсидия.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 в течение 20 рабочих дней со дня получения отчета осуществляет его проверку в системе «Электронный бюджет« на предмет: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полноты и правильности заполнения отчетов;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соответствия расходов, источником финансового обеспечения которых является субсидия, направлениям расходов, установленным настоящим Порядком;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соответствия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стала субсидия.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проверки отчета Департамент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 принятии отчета;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об отклонении отчета.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49. Основаниями для принятия решения об отклонении отчета являются: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несоответствие расходов, источником финансового обеспечения которых является субсидия, направлениям расходов, установленных настоящим Порядком;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несоответствие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стала субсидия.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50. В отношении получателей субсидии и лиц, указанных в </w:t>
      </w:r>
      <w:hyperlink r:id="rId22" w:tooltip="&quot;Бюджетный кодекс Российской Федерации&quot; от 31.07.1998 N 145-ФЗ (ред. от 31.07.2025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5 статьи 78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Бюджетного кодекса Российской Федерации, осуществляются следующие проверки: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Департаментом - соблюдения порядка и условий предоставления субсидий, в том числе в части достижения результатов их предоставления;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органами государственного финансового контроля - в соответствии со </w:t>
      </w:r>
      <w:hyperlink r:id="rId23" w:tooltip="&quot;Бюджетный кодекс Российской Федерации&quot; от 31.07.1998 N 145-ФЗ (ред. от 31.07.2025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статьями 268.1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hyperlink r:id="rId24" w:tooltip="&quot;Бюджетный кодекс Российской Федерации&quot; от 31.07.1998 N 145-ФЗ (ред. от 31.07.2025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269.2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51. В случае нарушения получателем субсидии условий, установленных при их предоставлении, выявленного в том числе по фактам проверок, проведенных Департаментом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органами государственного финансового контроля, Департамент в течение 15 рабочих дней со дня установления указанных фактов составляет и направляет получателю субсидии уведомление о возврате предоставленной субсидии в полном объеме (далее - уведомление).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чае недостижения получателем субсидии значений результатов, указанных в Соглашении, Департамент в течение 15 рабочих дней со дня установления указанных фактов составляет и направляет получателю субсидии требование о возврате субсидии (далее - требование).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52. Получатель субсидии в течение 25 рабочих дней со дня получения уведомления и (или) требования обязан осуществить возврат денежных средств в Департамент.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53. В случае невыполнения получателем субсидии возврата денежных средств в Департамент взыскание субсидии осуществляется в судебном порядке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54. Получатель суб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сидии несет ответственность за достоверность информации и документов, представляемых им в Центр занятости для получения субсидий, а также за целевое использование предоставленной субсидии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55. Департамент несет ответственность за осуществление расходов бюджета Забайкальского края, источником финансового обеспечения которых является субсидия,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56. Департамент: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в срок до 1 сентября года, следующего за годом предоставления субсидии, проводит: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мониторинг достижения результатов предоставления субсидии исходя из достижения значений результата предоставления субсидии, а также его характери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стик, определенных соглашениями,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оценку достижения результата предоставления субсидии, а также его характеристик на основании отчетов, представленных получателями субсидии, эффективности использования средств субсидии;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в срок до 15 февраля года, следующего за годом предоставления субсидии, представляет в Министерство финансов Забайкальского края отчет о достижении значений результата предоставления субсидии, а также его характеристик.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47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57. Остатки лимитов бюджетных обязательств, не использованные в текущем финансовом году, подлежат возврату в бюджет Забайкальского края в течение первых 15 рабочих дней года, следующего за годом предоставления субсидии.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3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1" w:right="567" w:bottom="1134" w:left="1985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right="360"/>
      <w:jc w:val="right"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rStyle w:val="936"/>
      </w:rPr>
      <w:framePr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separate"/>
    </w:r>
    <w:r>
      <w:rPr>
        <w:rStyle w:val="936"/>
      </w:rPr>
      <w:t xml:space="preserve">17</w:t>
    </w:r>
    <w:r>
      <w:rPr>
        <w:rStyle w:val="936"/>
      </w:rPr>
      <w:fldChar w:fldCharType="end"/>
    </w:r>
    <w:r>
      <w:rPr>
        <w:rStyle w:val="936"/>
      </w:rPr>
      <w:t xml:space="preserve">  </w:t>
    </w:r>
    <w:r>
      <w:rPr>
        <w:rStyle w:val="936"/>
      </w:rPr>
    </w:r>
    <w:r>
      <w:rPr>
        <w:rStyle w:val="936"/>
      </w:rPr>
    </w:r>
  </w:p>
  <w:p>
    <w:pPr>
      <w:pStyle w:val="9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206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0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1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7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8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37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18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6"/>
    <w:next w:val="906"/>
    <w:link w:val="72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29">
    <w:name w:val="Heading 1 Char"/>
    <w:link w:val="72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31">
    <w:name w:val="Heading 2 Char"/>
    <w:link w:val="730"/>
    <w:uiPriority w:val="9"/>
    <w:rPr>
      <w:rFonts w:ascii="Liberation Sans" w:hAnsi="Liberation Sans" w:eastAsia="Liberation Sans" w:cs="Liberation Sans"/>
      <w:sz w:val="34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33">
    <w:name w:val="Heading 3 Char"/>
    <w:link w:val="73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6"/>
    <w:next w:val="906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link w:val="748"/>
    <w:uiPriority w:val="10"/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link w:val="750"/>
    <w:uiPriority w:val="11"/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paragraph" w:styleId="756">
    <w:name w:val="Header"/>
    <w:basedOn w:val="906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Header Char"/>
    <w:link w:val="756"/>
    <w:uiPriority w:val="99"/>
  </w:style>
  <w:style w:type="paragraph" w:styleId="758">
    <w:name w:val="Footer"/>
    <w:basedOn w:val="906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Footer Char"/>
    <w:link w:val="758"/>
    <w:uiPriority w:val="99"/>
  </w:style>
  <w:style w:type="paragraph" w:styleId="760">
    <w:name w:val="Caption"/>
    <w:basedOn w:val="906"/>
    <w:next w:val="906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next w:val="906"/>
    <w:link w:val="906"/>
    <w:qFormat/>
    <w:rPr>
      <w:lang w:val="ru-RU" w:eastAsia="ru-RU" w:bidi="ar-SA"/>
    </w:rPr>
  </w:style>
  <w:style w:type="paragraph" w:styleId="907">
    <w:name w:val="Заголовок 1"/>
    <w:basedOn w:val="906"/>
    <w:next w:val="906"/>
    <w:link w:val="915"/>
    <w:uiPriority w:val="99"/>
    <w:qFormat/>
    <w:pPr>
      <w:ind w:firstLine="709"/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08">
    <w:name w:val="Заголовок 2"/>
    <w:basedOn w:val="906"/>
    <w:next w:val="906"/>
    <w:link w:val="916"/>
    <w:uiPriority w:val="99"/>
    <w:qFormat/>
    <w:pPr>
      <w:ind w:firstLine="708"/>
      <w:jc w:val="both"/>
      <w:keepNext/>
      <w:outlineLvl w:val="1"/>
    </w:pPr>
    <w:rPr>
      <w:b/>
      <w:bCs/>
      <w:i/>
      <w:iCs/>
      <w:sz w:val="28"/>
      <w:szCs w:val="28"/>
    </w:rPr>
  </w:style>
  <w:style w:type="paragraph" w:styleId="909">
    <w:name w:val="Заголовок 4"/>
    <w:basedOn w:val="906"/>
    <w:next w:val="906"/>
    <w:link w:val="917"/>
    <w:uiPriority w:val="99"/>
    <w:qFormat/>
    <w:pPr>
      <w:ind w:firstLine="709"/>
      <w:keepNext/>
      <w:spacing w:before="240" w:after="60"/>
      <w:outlineLvl w:val="3"/>
    </w:pPr>
    <w:rPr>
      <w:b/>
      <w:bCs/>
      <w:sz w:val="28"/>
      <w:szCs w:val="28"/>
    </w:rPr>
  </w:style>
  <w:style w:type="paragraph" w:styleId="910">
    <w:name w:val="Заголовок 5"/>
    <w:basedOn w:val="906"/>
    <w:next w:val="906"/>
    <w:link w:val="918"/>
    <w:uiPriority w:val="99"/>
    <w:qFormat/>
    <w:pPr>
      <w:ind w:firstLine="709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11">
    <w:name w:val="Заголовок 6"/>
    <w:basedOn w:val="906"/>
    <w:next w:val="906"/>
    <w:link w:val="919"/>
    <w:uiPriority w:val="99"/>
    <w:qFormat/>
    <w:pPr>
      <w:ind w:firstLine="709"/>
      <w:spacing w:before="240" w:after="60"/>
      <w:outlineLvl w:val="5"/>
    </w:pPr>
    <w:rPr>
      <w:b/>
      <w:bCs/>
      <w:sz w:val="22"/>
      <w:szCs w:val="22"/>
    </w:rPr>
  </w:style>
  <w:style w:type="character" w:styleId="912">
    <w:name w:val="Основной шрифт абзаца"/>
    <w:next w:val="912"/>
    <w:link w:val="906"/>
    <w:uiPriority w:val="99"/>
    <w:semiHidden/>
  </w:style>
  <w:style w:type="table" w:styleId="913">
    <w:name w:val="Обычная таблица"/>
    <w:next w:val="913"/>
    <w:link w:val="906"/>
    <w:uiPriority w:val="99"/>
    <w:semiHidden/>
    <w:unhideWhenUsed/>
    <w:qFormat/>
    <w:tblPr/>
  </w:style>
  <w:style w:type="numbering" w:styleId="914">
    <w:name w:val="Нет списка"/>
    <w:next w:val="914"/>
    <w:link w:val="906"/>
    <w:uiPriority w:val="99"/>
    <w:semiHidden/>
    <w:unhideWhenUsed/>
  </w:style>
  <w:style w:type="character" w:styleId="915">
    <w:name w:val="Заголовок 1 Знак"/>
    <w:next w:val="915"/>
    <w:link w:val="907"/>
    <w:uiPriority w:val="99"/>
    <w:rPr>
      <w:rFonts w:ascii="Arial" w:hAnsi="Arial" w:cs="Arial"/>
      <w:b/>
      <w:bCs/>
      <w:sz w:val="32"/>
      <w:szCs w:val="32"/>
    </w:rPr>
  </w:style>
  <w:style w:type="character" w:styleId="916">
    <w:name w:val="Заголовок 2 Знак"/>
    <w:next w:val="916"/>
    <w:link w:val="908"/>
    <w:uiPriority w:val="99"/>
    <w:rPr>
      <w:b/>
      <w:bCs/>
      <w:i/>
      <w:iCs/>
      <w:sz w:val="24"/>
      <w:szCs w:val="24"/>
    </w:rPr>
  </w:style>
  <w:style w:type="character" w:styleId="917">
    <w:name w:val="Заголовок 4 Знак"/>
    <w:next w:val="917"/>
    <w:link w:val="909"/>
    <w:uiPriority w:val="99"/>
    <w:rPr>
      <w:b/>
      <w:bCs/>
      <w:sz w:val="28"/>
      <w:szCs w:val="28"/>
    </w:rPr>
  </w:style>
  <w:style w:type="character" w:styleId="918">
    <w:name w:val="Заголовок 5 Знак"/>
    <w:next w:val="918"/>
    <w:link w:val="910"/>
    <w:uiPriority w:val="99"/>
    <w:rPr>
      <w:b/>
      <w:bCs/>
      <w:i/>
      <w:iCs/>
      <w:sz w:val="26"/>
      <w:szCs w:val="26"/>
    </w:rPr>
  </w:style>
  <w:style w:type="character" w:styleId="919">
    <w:name w:val="Заголовок 6 Знак"/>
    <w:next w:val="919"/>
    <w:link w:val="911"/>
    <w:uiPriority w:val="99"/>
    <w:rPr>
      <w:b/>
      <w:bCs/>
      <w:sz w:val="22"/>
      <w:szCs w:val="22"/>
    </w:rPr>
  </w:style>
  <w:style w:type="paragraph" w:styleId="920">
    <w:name w:val="Название"/>
    <w:basedOn w:val="906"/>
    <w:next w:val="920"/>
    <w:link w:val="921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styleId="921">
    <w:name w:val="Название Знак"/>
    <w:next w:val="921"/>
    <w:link w:val="920"/>
    <w:uiPriority w:val="99"/>
    <w:rPr>
      <w:b/>
      <w:bCs/>
      <w:sz w:val="26"/>
      <w:szCs w:val="26"/>
    </w:rPr>
  </w:style>
  <w:style w:type="character" w:styleId="922">
    <w:name w:val="Строгий"/>
    <w:next w:val="922"/>
    <w:link w:val="906"/>
    <w:uiPriority w:val="99"/>
    <w:qFormat/>
    <w:rPr>
      <w:b/>
      <w:bCs/>
    </w:rPr>
  </w:style>
  <w:style w:type="character" w:styleId="923">
    <w:name w:val="Выделение"/>
    <w:next w:val="923"/>
    <w:link w:val="906"/>
    <w:uiPriority w:val="99"/>
    <w:qFormat/>
    <w:rPr>
      <w:i/>
      <w:iCs/>
    </w:rPr>
  </w:style>
  <w:style w:type="paragraph" w:styleId="924">
    <w:name w:val="Абзац списка"/>
    <w:basedOn w:val="906"/>
    <w:next w:val="924"/>
    <w:link w:val="906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925">
    <w:name w:val="Текст выноски"/>
    <w:basedOn w:val="906"/>
    <w:next w:val="925"/>
    <w:link w:val="926"/>
    <w:uiPriority w:val="99"/>
    <w:semiHidden/>
    <w:rPr>
      <w:rFonts w:ascii="Tahoma" w:hAnsi="Tahoma" w:cs="Tahoma"/>
      <w:sz w:val="16"/>
      <w:szCs w:val="16"/>
    </w:rPr>
  </w:style>
  <w:style w:type="character" w:styleId="926">
    <w:name w:val="Текст выноски Знак"/>
    <w:next w:val="926"/>
    <w:link w:val="925"/>
    <w:uiPriority w:val="99"/>
    <w:semiHidden/>
    <w:rPr>
      <w:rFonts w:ascii="Tahoma" w:hAnsi="Tahoma" w:cs="Tahoma"/>
      <w:sz w:val="16"/>
      <w:szCs w:val="16"/>
    </w:rPr>
  </w:style>
  <w:style w:type="table" w:styleId="927">
    <w:name w:val="Сетка таблицы"/>
    <w:basedOn w:val="913"/>
    <w:next w:val="927"/>
    <w:link w:val="906"/>
    <w:uiPriority w:val="59"/>
    <w:pPr>
      <w:spacing w:after="0" w:line="240" w:lineRule="auto"/>
    </w:pPr>
    <w:rPr>
      <w:sz w:val="20"/>
      <w:szCs w:val="20"/>
    </w:rPr>
    <w:tblPr/>
  </w:style>
  <w:style w:type="paragraph" w:styleId="928">
    <w:name w:val="Верхний колонтитул"/>
    <w:basedOn w:val="906"/>
    <w:next w:val="928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>
    <w:name w:val="Верхний колонтитул Знак"/>
    <w:basedOn w:val="912"/>
    <w:next w:val="929"/>
    <w:link w:val="928"/>
    <w:uiPriority w:val="99"/>
  </w:style>
  <w:style w:type="paragraph" w:styleId="930">
    <w:name w:val="Нижний колонтитул"/>
    <w:basedOn w:val="906"/>
    <w:next w:val="930"/>
    <w:link w:val="931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931">
    <w:name w:val="Нижний колонтитул Знак"/>
    <w:basedOn w:val="912"/>
    <w:next w:val="931"/>
    <w:link w:val="930"/>
    <w:uiPriority w:val="99"/>
    <w:semiHidden/>
  </w:style>
  <w:style w:type="character" w:styleId="932">
    <w:name w:val="Гипертекстовая ссылка"/>
    <w:next w:val="932"/>
    <w:link w:val="906"/>
    <w:uiPriority w:val="99"/>
    <w:rPr>
      <w:b/>
      <w:bCs/>
      <w:color w:val="008000"/>
    </w:rPr>
  </w:style>
  <w:style w:type="paragraph" w:styleId="933">
    <w:name w:val="ConsPlusNormal"/>
    <w:next w:val="933"/>
    <w:link w:val="934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34">
    <w:name w:val="ConsPlusNormal Знак"/>
    <w:next w:val="934"/>
    <w:link w:val="933"/>
    <w:rPr>
      <w:rFonts w:ascii="Arial" w:hAnsi="Arial" w:cs="Arial"/>
      <w:lang w:val="ru-RU" w:eastAsia="ru-RU" w:bidi="ar-SA"/>
    </w:rPr>
  </w:style>
  <w:style w:type="paragraph" w:styleId="935">
    <w:name w:val="Знак Знак Знак"/>
    <w:basedOn w:val="906"/>
    <w:next w:val="935"/>
    <w:link w:val="90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36">
    <w:name w:val="Номер страницы"/>
    <w:basedOn w:val="912"/>
    <w:next w:val="936"/>
    <w:link w:val="906"/>
    <w:uiPriority w:val="99"/>
  </w:style>
  <w:style w:type="paragraph" w:styleId="937">
    <w:name w:val="ConsPlusTitle"/>
    <w:next w:val="937"/>
    <w:link w:val="906"/>
    <w:pPr>
      <w:widowControl w:val="off"/>
    </w:pPr>
    <w:rPr>
      <w:rFonts w:ascii="Calibri" w:hAnsi="Calibri" w:cs="Calibri"/>
      <w:b/>
      <w:sz w:val="22"/>
      <w:szCs w:val="22"/>
      <w:lang w:val="ru-RU" w:eastAsia="ru-RU" w:bidi="ar-SA"/>
    </w:rPr>
  </w:style>
  <w:style w:type="character" w:styleId="938">
    <w:name w:val="Гиперссылка"/>
    <w:next w:val="938"/>
    <w:link w:val="906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character" w:styleId="939">
    <w:name w:val="Основной текст_"/>
    <w:next w:val="939"/>
    <w:link w:val="940"/>
    <w:rPr>
      <w:sz w:val="27"/>
      <w:shd w:val="clear" w:color="auto" w:fill="ffffff"/>
    </w:rPr>
  </w:style>
  <w:style w:type="paragraph" w:styleId="940">
    <w:name w:val="Основной текст1"/>
    <w:basedOn w:val="906"/>
    <w:next w:val="940"/>
    <w:link w:val="939"/>
    <w:pPr>
      <w:jc w:val="right"/>
      <w:spacing w:after="720" w:line="240" w:lineRule="atLeast"/>
      <w:shd w:val="clear" w:color="auto" w:fill="ffffff"/>
      <w:widowControl w:val="off"/>
    </w:pPr>
    <w:rPr>
      <w:sz w:val="27"/>
    </w:rPr>
  </w:style>
  <w:style w:type="character" w:styleId="941">
    <w:name w:val="Основной текст (2)_"/>
    <w:next w:val="941"/>
    <w:link w:val="942"/>
    <w:rPr>
      <w:sz w:val="18"/>
      <w:shd w:val="clear" w:color="auto" w:fill="ffffff"/>
    </w:rPr>
  </w:style>
  <w:style w:type="paragraph" w:styleId="942">
    <w:name w:val="Основной текст (2)"/>
    <w:basedOn w:val="906"/>
    <w:next w:val="942"/>
    <w:link w:val="941"/>
    <w:pPr>
      <w:ind w:firstLine="700"/>
      <w:jc w:val="both"/>
      <w:spacing w:before="300" w:after="300" w:line="240" w:lineRule="atLeast"/>
      <w:shd w:val="clear" w:color="auto" w:fill="ffffff"/>
      <w:widowControl w:val="off"/>
    </w:pPr>
    <w:rPr>
      <w:sz w:val="18"/>
    </w:rPr>
  </w:style>
  <w:style w:type="paragraph" w:styleId="943">
    <w:name w:val="Без интервала"/>
    <w:next w:val="943"/>
    <w:link w:val="906"/>
    <w:uiPriority w:val="1"/>
    <w:qFormat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944">
    <w:name w:val="Основной текст"/>
    <w:basedOn w:val="906"/>
    <w:next w:val="944"/>
    <w:link w:val="945"/>
    <w:uiPriority w:val="99"/>
    <w:pPr>
      <w:spacing w:after="120"/>
    </w:pPr>
    <w:rPr>
      <w:sz w:val="24"/>
      <w:szCs w:val="24"/>
    </w:rPr>
  </w:style>
  <w:style w:type="character" w:styleId="945">
    <w:name w:val="Основной текст Знак"/>
    <w:next w:val="945"/>
    <w:link w:val="944"/>
    <w:uiPriority w:val="99"/>
    <w:rPr>
      <w:sz w:val="24"/>
      <w:szCs w:val="24"/>
    </w:rPr>
  </w:style>
  <w:style w:type="paragraph" w:styleId="946">
    <w:name w:val="s_1"/>
    <w:basedOn w:val="906"/>
    <w:next w:val="946"/>
    <w:link w:val="906"/>
    <w:pPr>
      <w:spacing w:before="100" w:beforeAutospacing="1" w:after="100" w:afterAutospacing="1"/>
    </w:pPr>
    <w:rPr>
      <w:sz w:val="24"/>
      <w:szCs w:val="24"/>
    </w:rPr>
  </w:style>
  <w:style w:type="paragraph" w:styleId="947">
    <w:name w:val="Обычный (веб)"/>
    <w:basedOn w:val="906"/>
    <w:next w:val="947"/>
    <w:link w:val="906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948" w:default="1">
    <w:name w:val="Default Paragraph Font"/>
    <w:uiPriority w:val="1"/>
    <w:semiHidden/>
    <w:unhideWhenUsed/>
  </w:style>
  <w:style w:type="numbering" w:styleId="949" w:default="1">
    <w:name w:val="No List"/>
    <w:uiPriority w:val="99"/>
    <w:semiHidden/>
    <w:unhideWhenUsed/>
  </w:style>
  <w:style w:type="table" w:styleId="9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hyperlink" Target="https://login.consultant.ru/link/?req=doc&amp;base=RLAW251&amp;n=1677302" TargetMode="External"/><Relationship Id="rId14" Type="http://schemas.openxmlformats.org/officeDocument/2006/relationships/hyperlink" Target="https://login.consultant.ru/link/?req=doc&amp;base=RLAW251&amp;n=1679033&amp;dst=153123" TargetMode="External"/><Relationship Id="rId15" Type="http://schemas.openxmlformats.org/officeDocument/2006/relationships/hyperlink" Target="https://login.consultant.ru/link/?req=doc&amp;base=LAW&amp;n=121087&amp;dst=100142" TargetMode="External"/><Relationship Id="rId16" Type="http://schemas.openxmlformats.org/officeDocument/2006/relationships/hyperlink" Target="https://login.consultant.ru/link/?req=doc&amp;base=LAW&amp;n=503698" TargetMode="External"/><Relationship Id="rId17" Type="http://schemas.openxmlformats.org/officeDocument/2006/relationships/hyperlink" Target="https://login.consultant.ru/link/?req=doc&amp;base=LAW&amp;n=511241&amp;dst=6809" TargetMode="External"/><Relationship Id="rId18" Type="http://schemas.openxmlformats.org/officeDocument/2006/relationships/hyperlink" Target="https://promote.budget.gov.ru/" TargetMode="External"/><Relationship Id="rId19" Type="http://schemas.openxmlformats.org/officeDocument/2006/relationships/hyperlink" Target="https://login.consultant.ru/link/?req=doc&amp;base=LAW&amp;n=508490&amp;dst=101922" TargetMode="External"/><Relationship Id="rId20" Type="http://schemas.openxmlformats.org/officeDocument/2006/relationships/hyperlink" Target="https://login.consultant.ru/link/?req=doc&amp;base=LAW&amp;n=511241&amp;dst=103395" TargetMode="External"/><Relationship Id="rId21" Type="http://schemas.openxmlformats.org/officeDocument/2006/relationships/hyperlink" Target="https://login.consultant.ru/link/?req=doc&amp;base=LAW&amp;n=511241&amp;dst=6809" TargetMode="External"/><Relationship Id="rId22" Type="http://schemas.openxmlformats.org/officeDocument/2006/relationships/hyperlink" Target="https://login.consultant.ru/link/?req=doc&amp;base=LAW&amp;n=511241&amp;dst=6809" TargetMode="External"/><Relationship Id="rId23" Type="http://schemas.openxmlformats.org/officeDocument/2006/relationships/hyperlink" Target="https://login.consultant.ru/link/?req=doc&amp;base=LAW&amp;n=511241&amp;dst=3704" TargetMode="External"/><Relationship Id="rId24" Type="http://schemas.openxmlformats.org/officeDocument/2006/relationships/hyperlink" Target="https://login.consultant.ru/link/?req=doc&amp;base=LAW&amp;n=511241&amp;dst=3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Razmah</dc:creator>
  <cp:lastModifiedBy>Erilova_AA</cp:lastModifiedBy>
  <cp:revision>160</cp:revision>
  <dcterms:created xsi:type="dcterms:W3CDTF">2023-09-06T06:09:00Z</dcterms:created>
  <dcterms:modified xsi:type="dcterms:W3CDTF">2026-02-06T02:23:23Z</dcterms:modified>
  <cp:version>983040</cp:version>
</cp:coreProperties>
</file>