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FB" w:rsidRPr="004126FB" w:rsidRDefault="004126FB" w:rsidP="004126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bookmarkStart w:id="0" w:name="OLE_LINK4"/>
      <w:r w:rsidRPr="004126FB">
        <w:rPr>
          <w:rFonts w:ascii="Times New Roman" w:eastAsia="Times New Roman" w:hAnsi="Times New Roman" w:cs="Times New Roman"/>
          <w:sz w:val="2"/>
          <w:szCs w:val="2"/>
          <w:lang w:eastAsia="ru-RU"/>
        </w:rPr>
        <w:t>0</w:t>
      </w:r>
      <w:r w:rsidRPr="004126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978E28" wp14:editId="47357497">
            <wp:extent cx="80010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FB" w:rsidRPr="004126FB" w:rsidRDefault="004126FB" w:rsidP="004126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126FB" w:rsidRPr="004126FB" w:rsidRDefault="004126FB" w:rsidP="004126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126FB" w:rsidRPr="004126FB" w:rsidRDefault="004126FB" w:rsidP="004126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126FB" w:rsidRPr="004126FB" w:rsidRDefault="004126FB" w:rsidP="004126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126FB" w:rsidRPr="004126FB" w:rsidRDefault="004126FB" w:rsidP="004126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126FB" w:rsidRPr="004126FB" w:rsidRDefault="004126FB" w:rsidP="004126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126FB" w:rsidRPr="004126FB" w:rsidRDefault="004126FB" w:rsidP="004126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126FB" w:rsidRPr="004126FB" w:rsidRDefault="004126FB" w:rsidP="004126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126FB" w:rsidRPr="004126FB" w:rsidRDefault="004126FB" w:rsidP="004126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4126FB" w:rsidRPr="004126FB" w:rsidRDefault="004126FB" w:rsidP="004126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 w:rsidRPr="004126FB"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ПРАВИТЕЛЬСТВО ЗАБАЙКАЛЬСКОГО КРАЯ</w:t>
      </w:r>
    </w:p>
    <w:p w:rsidR="004126FB" w:rsidRPr="004126FB" w:rsidRDefault="004126FB" w:rsidP="004126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4126FB" w:rsidRPr="004126FB" w:rsidRDefault="004126FB" w:rsidP="004126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4126FB" w:rsidRPr="004126FB" w:rsidRDefault="004126FB" w:rsidP="004126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4126FB" w:rsidRPr="004126FB" w:rsidRDefault="004126FB" w:rsidP="004126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4126FB" w:rsidRPr="004126FB" w:rsidRDefault="004126FB" w:rsidP="004126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  <w:t>ПОСТАНОВЛЕНИЕ</w:t>
      </w:r>
    </w:p>
    <w:p w:rsidR="004126FB" w:rsidRPr="004126FB" w:rsidRDefault="004126FB" w:rsidP="004126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</w:pPr>
    </w:p>
    <w:p w:rsidR="004126FB" w:rsidRPr="004126FB" w:rsidRDefault="004126FB" w:rsidP="004126FB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6"/>
          <w:szCs w:val="6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  <w:t>г. Чита</w:t>
      </w:r>
    </w:p>
    <w:bookmarkEnd w:id="0"/>
    <w:p w:rsidR="004126FB" w:rsidRPr="004126FB" w:rsidRDefault="004126FB" w:rsidP="004126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4126FB" w:rsidRPr="004126FB" w:rsidRDefault="004126FB" w:rsidP="00412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26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bookmarkStart w:id="1" w:name="_Hlk205079963"/>
      <w:r w:rsidRPr="004126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государственную программу </w:t>
      </w:r>
      <w:r w:rsidRPr="004126F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Забайкальского края «Обеспечение градостроительной деятельности </w:t>
      </w:r>
      <w:r w:rsidRPr="004126F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на территории Забайкальского края»</w:t>
      </w:r>
    </w:p>
    <w:bookmarkEnd w:id="1"/>
    <w:p w:rsidR="004126FB" w:rsidRPr="004126FB" w:rsidRDefault="004126FB" w:rsidP="00412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26FB" w:rsidRPr="004126FB" w:rsidRDefault="004126FB" w:rsidP="00412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разработки, формирования, реализации, мониторинга и проведения оценки эффективности государственных программ Забайкальского края, утвержденным постановлением Правительства Забайкальского края от 30 декабря 2013 года № 600, Правительство Забайкальского края </w:t>
      </w:r>
      <w:r w:rsidRPr="004126FB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постановляет</w:t>
      </w:r>
      <w:r w:rsidRPr="004126FB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:</w:t>
      </w:r>
    </w:p>
    <w:p w:rsidR="004126FB" w:rsidRPr="004126FB" w:rsidRDefault="004126FB" w:rsidP="00412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6FB" w:rsidRPr="004126FB" w:rsidRDefault="004126FB" w:rsidP="00412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прилагаемые </w:t>
      </w:r>
      <w:hyperlink w:anchor="Par31" w:history="1">
        <w:r w:rsidRPr="004126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изменения</w:t>
        </w:r>
      </w:hyperlink>
      <w:r w:rsidRPr="004126F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вносятся в государственную программу Забайкальского края «Обеспечение градостроительной деятельности на территории Забайкальского края», утвержденную постановлением Правительства Забайкальского края от 12 февраля 2016 года № 65 (с изменениями, внесенными постановлениями Правительства Забайкальского края от 16 июня 2016 года № 273, от 17 ноября 2017 года № 460, от 26 сентября 2018 года № 406, от 25 декабря 2019 года № 511, от 11 ноября 2020 года № 475, от 25 мая 2021 года № 182, от 8 июля 2022 года № 289, от 11 июля 2022 года № 290, от 21 ноября 2022 года № 559, от 24 мая 2024 года № 255,</w:t>
      </w:r>
      <w:r w:rsidRPr="0041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апреля 2025 года № 202,</w:t>
      </w:r>
      <w:r w:rsidRPr="0041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26 августа 2025 года № 473</w:t>
      </w:r>
      <w:r w:rsidRPr="004126F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126FB" w:rsidRPr="004126FB" w:rsidRDefault="004126FB" w:rsidP="004126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26FB" w:rsidRPr="004126FB" w:rsidRDefault="004126FB" w:rsidP="004126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26FB" w:rsidRPr="004126FB" w:rsidRDefault="004126FB" w:rsidP="004126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9"/>
        <w:gridCol w:w="2381"/>
        <w:gridCol w:w="2431"/>
      </w:tblGrid>
      <w:tr w:rsidR="004126FB" w:rsidRPr="004126FB" w:rsidTr="001354FB">
        <w:tc>
          <w:tcPr>
            <w:tcW w:w="4928" w:type="dxa"/>
            <w:hideMark/>
          </w:tcPr>
          <w:p w:rsidR="004126FB" w:rsidRPr="004126FB" w:rsidRDefault="004126FB" w:rsidP="004126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12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>Первый заместител</w:t>
            </w:r>
            <w:r w:rsidRPr="00412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ь</w:t>
            </w:r>
          </w:p>
          <w:p w:rsidR="004126FB" w:rsidRPr="004126FB" w:rsidRDefault="004126FB" w:rsidP="004126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</w:pPr>
            <w:r w:rsidRPr="00412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>председателя Правительства</w:t>
            </w:r>
          </w:p>
          <w:p w:rsidR="004126FB" w:rsidRPr="004126FB" w:rsidRDefault="004126FB" w:rsidP="004126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>Забайкальского края</w:t>
            </w:r>
          </w:p>
        </w:tc>
        <w:tc>
          <w:tcPr>
            <w:tcW w:w="2517" w:type="dxa"/>
          </w:tcPr>
          <w:p w:rsidR="004126FB" w:rsidRPr="004126FB" w:rsidRDefault="004126FB" w:rsidP="004126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</w:tcPr>
          <w:p w:rsidR="004126FB" w:rsidRPr="004126FB" w:rsidRDefault="004126FB" w:rsidP="004126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6FB" w:rsidRPr="004126FB" w:rsidRDefault="004126FB" w:rsidP="004126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6FB" w:rsidRPr="004126FB" w:rsidRDefault="004126FB" w:rsidP="004126F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2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white"/>
                <w:lang w:eastAsia="ru-RU"/>
              </w:rPr>
              <w:t>Б.Б.Батомункуев</w:t>
            </w:r>
            <w:proofErr w:type="spellEnd"/>
          </w:p>
        </w:tc>
      </w:tr>
    </w:tbl>
    <w:p w:rsidR="004126FB" w:rsidRPr="004126FB" w:rsidRDefault="004126FB" w:rsidP="004126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70" w:type="dxa"/>
        <w:tblLook w:val="04A0" w:firstRow="1" w:lastRow="0" w:firstColumn="1" w:lastColumn="0" w:noHBand="0" w:noVBand="1"/>
      </w:tblPr>
      <w:tblGrid>
        <w:gridCol w:w="5070"/>
      </w:tblGrid>
      <w:tr w:rsidR="004126FB" w:rsidRPr="004126FB" w:rsidTr="001354FB">
        <w:tc>
          <w:tcPr>
            <w:tcW w:w="5070" w:type="dxa"/>
          </w:tcPr>
          <w:p w:rsidR="004126FB" w:rsidRPr="004126FB" w:rsidRDefault="004126FB" w:rsidP="0041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 w:rsidRPr="00412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 w:rsidRPr="00412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</w:p>
        </w:tc>
      </w:tr>
    </w:tbl>
    <w:p w:rsidR="004126FB" w:rsidRPr="004126FB" w:rsidRDefault="004126FB" w:rsidP="004126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6FB" w:rsidRPr="004126FB" w:rsidRDefault="004126FB" w:rsidP="004126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6FB" w:rsidRPr="004126FB" w:rsidRDefault="004126FB" w:rsidP="004126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6FB" w:rsidRPr="004126FB" w:rsidRDefault="004126FB" w:rsidP="004126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6FB" w:rsidRPr="004126FB" w:rsidRDefault="004126FB" w:rsidP="004126F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6FB" w:rsidRPr="004126FB" w:rsidRDefault="004126FB" w:rsidP="004126F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36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</w:t>
      </w:r>
      <w:r w:rsidRPr="004126F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4126FB" w:rsidRPr="004126FB" w:rsidRDefault="004126FB" w:rsidP="004126FB">
      <w:pPr>
        <w:tabs>
          <w:tab w:val="left" w:pos="567"/>
          <w:tab w:val="left" w:pos="851"/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412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4126FB" w:rsidRPr="004126FB" w:rsidRDefault="004126FB" w:rsidP="004126FB">
      <w:pPr>
        <w:tabs>
          <w:tab w:val="left" w:pos="567"/>
          <w:tab w:val="left" w:pos="851"/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41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</w:p>
    <w:p w:rsidR="004126FB" w:rsidRPr="004126FB" w:rsidRDefault="004126FB" w:rsidP="004126F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6FB" w:rsidRPr="004126FB" w:rsidRDefault="004126FB" w:rsidP="004126F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6FB" w:rsidRPr="004126FB" w:rsidRDefault="004126FB" w:rsidP="004126F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4576CE" w:rsidRDefault="004126FB" w:rsidP="004576C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вносятся</w:t>
      </w:r>
      <w:r w:rsidRPr="00412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государственную программу Забайкальского края «Обеспечение градостроительной деятельности на территории Забайкальского края», утвержденную постановлением Правительства Забайкальского края от 12 февраля 2016 года № 65</w:t>
      </w:r>
    </w:p>
    <w:p w:rsidR="004576CE" w:rsidRDefault="004576CE" w:rsidP="004576C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  <w:r>
        <w:rPr>
          <w:rFonts w:ascii="Times New Roman" w:eastAsia="Times New Roman" w:hAnsi="Times New Roman" w:cs="Calibri"/>
          <w:sz w:val="28"/>
        </w:rPr>
        <w:tab/>
      </w:r>
    </w:p>
    <w:p w:rsidR="004126FB" w:rsidRPr="004576CE" w:rsidRDefault="004576CE" w:rsidP="004576C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</w:rPr>
        <w:tab/>
        <w:t xml:space="preserve">1. </w:t>
      </w:r>
      <w:r w:rsidR="004126FB" w:rsidRPr="004126FB">
        <w:rPr>
          <w:rFonts w:ascii="Times New Roman" w:eastAsia="Times New Roman" w:hAnsi="Times New Roman" w:cs="Calibri"/>
          <w:sz w:val="28"/>
        </w:rPr>
        <w:t>В стратегических приоритетах:</w:t>
      </w:r>
    </w:p>
    <w:p w:rsidR="00434D7A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1) </w:t>
      </w:r>
      <w:r w:rsidR="0043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разделе 4:</w:t>
      </w:r>
    </w:p>
    <w:p w:rsidR="004126FB" w:rsidRPr="004126FB" w:rsidRDefault="00434D7A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r w:rsidR="004126FB"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абзацы второй-пятый изложить в следующей редакции: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«1)</w:t>
      </w:r>
      <w:r w:rsidRPr="00412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совершенствование системы территориального планирования и градостроительной деятельности;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создание условий для достижения «цифровой зрелости» в области градостроительной деятельности на территории Забайкальского края;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создание условий для совершенствования развития строительной отрасли;</w:t>
      </w:r>
    </w:p>
    <w:p w:rsid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создание условий для сокращения количества граждан (дольщиков), пострадавших от действи</w:t>
      </w:r>
      <w:r w:rsidR="0043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 недобросовестных застройщиков.</w:t>
      </w:r>
    </w:p>
    <w:p w:rsidR="00434D7A" w:rsidRPr="004126FB" w:rsidRDefault="00434D7A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дополнить новыми абзацами шесть-восемь следующего содержания:</w:t>
      </w:r>
    </w:p>
    <w:p w:rsidR="004126FB" w:rsidRPr="004126FB" w:rsidRDefault="00434D7A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4126FB"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5) обеспечение доступным арендным </w:t>
      </w:r>
      <w:r w:rsidR="00A813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жильем</w:t>
      </w:r>
      <w:bookmarkStart w:id="2" w:name="_GoBack"/>
      <w:bookmarkEnd w:id="2"/>
      <w:r w:rsidR="004126FB"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отдельных категорий граждан;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6) осуществление технологического присоединения к сетям электроснабжения, теплоснабжения, водоснабжения и водоотведения объектов в рамках региональных проектов государственной программы;</w:t>
      </w:r>
    </w:p>
    <w:p w:rsid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7) строительство и (или) реконструкция объектов социальной инфраструктуры (дошкольных учреждений, образовательных учреждений и учреждений здравоохранения), объектов транспортной инфраструктуры, объектов водоснабжения, во</w:t>
      </w:r>
      <w:r w:rsidR="00744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доотведения и теплоснабжения.»;</w:t>
      </w:r>
    </w:p>
    <w:p w:rsidR="00434D7A" w:rsidRDefault="00434D7A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в абзаце шестом слова «до среднероссийского уровня»</w:t>
      </w:r>
      <w:r w:rsidR="007445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исключить;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34D7A" w:rsidRDefault="00434D7A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 абзац седьмой изложить в следующей редакции:</w:t>
      </w:r>
    </w:p>
    <w:p w:rsidR="00434D7A" w:rsidRPr="004126FB" w:rsidRDefault="00434D7A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43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целях реализации государственной политики поддержки и развития строительства, а также достижения целей и задач государственной программы разработаны такие меры поддержки, как предоставление субсидий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муниципальным образованиям</w:t>
      </w:r>
      <w:r w:rsidRPr="0043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Забайкальского края на </w:t>
      </w:r>
      <w:proofErr w:type="spellStart"/>
      <w:r w:rsidRPr="0043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софинансирование</w:t>
      </w:r>
      <w:proofErr w:type="spellEnd"/>
      <w:r w:rsidRPr="0043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расходных обязательств, возникающих при реализации проектов по комплексному развитию территорий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43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юридическим лицам на технологическое присоединение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централизованным инженерным сетям</w:t>
      </w:r>
      <w:r w:rsidRPr="0043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 w:rsidRPr="0043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возмещение недополученных доходов в связи с передачей на условиях договоров субаренды жилых помещений отдельным категориям граждан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434D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832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обеспечение деятельности по сокращению количества граждан-дольщиков, </w:t>
      </w:r>
      <w:r w:rsidRPr="007832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пострадавших от действий недобросовестных застройщиков.».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В приложении: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пункт 3 дополнить подпунктом 5 следующего содержания: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«5) строительство и (или) реконструкция объектов транспортной инфраструктуры, объектов водоснабжения, водоотведения и теплоснабжения в целях реализации проектов комплексного развития территорий, по которым на дату подачи заявки принято решение о комплексном развитии территории, но не заключены соответствующие договоры в соответствии с пунктом 6 части 6, пунктами 4 и 6 части 7, пунктом 3 части 8 статьи 66 Градостроительного кодекса Российской Федерации.»;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в пункте 7: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абзац первый изложить в новой редакции: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«7. При планировании направления субсидии на цели, предусмотренные подпунктами 1 - 3 пункта 3 настоящего Порядка, субсидии предоставляются на реализацию проектов по комплексному развитию территорий, соответствующих следующим критериям:»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в подпункте 1 слова «(за исключением, когда комплексное развитие территории осуществляется по инициативе правообладателя)» заменить словами «, за исключением случаев, когда принятие такого решения не предусмотрено Градостроительным кодексом Российской Федерации»;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подпункт 2 дополнить словами следующего содержания: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«, за исключением случаев, когда заключение таких договора и (или) соглашения не было предусмотрено Градостроительным кодексом Российской Федерации»;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дополнить пунктом 7</w:t>
      </w: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 xml:space="preserve">1 </w:t>
      </w: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следующего содержания: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«7</w:t>
      </w: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1</w:t>
      </w: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При планировании направления субсидии на цель, предусмотренную подпунктом 5 пункта 3 настоящего Порядка, субсидии предоставляются на реализацию проектов по комплексному развитию территорий, соответствующих следующему критерию, - наличие решения о комплексном развитии территории, принятого в соответствии с Градостроительным кодексом Российской Федерации.»;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подпункт 4 пункта 11 признать утратившим силу;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5) дополнить пунктом 12</w:t>
      </w: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1</w:t>
      </w: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«12</w:t>
      </w: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1</w:t>
      </w: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При планировании направления субсидии на цель, предусмотренную подпунктом 5 пункта 3 настоящего Порядка, муниципальными образованиями в отношении каждого объекта капитального строительства представляются в Министерство следующие сведения и документы: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информацию об объекте капитального строительства (его наименование, технологические параметры, сроки ввода в эксплуатацию, размер потребности муниципального образования в средствах краевого и федерального бюджета, в финансовом обеспечении строительства и (или) реконструкции);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2) копию положительного заключения государственной экспертизы проектной документации и (или) результатов инженерных изысканий, </w:t>
      </w: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содержащего оценку достоверности определения сметной стоимости строительства объекта капитального строительства;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3) копию решения о комплексном развитии территории, принятого в соответствии с Градостроительным кодексом Российской Федерации;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план мероприятий («дорожная карта») по реализации решения о комплексном развитии территорий.»;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6) абзац второй пункта 38 дополнить словами следующего содержания: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«(за исключением цели, предусмотренной подпунктом 5 пункта 3 настоящего Порядка).».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126FB" w:rsidRPr="004126FB" w:rsidRDefault="004126FB" w:rsidP="004126F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</w:t>
      </w:r>
    </w:p>
    <w:p w:rsidR="004126FB" w:rsidRPr="004126FB" w:rsidRDefault="004126FB" w:rsidP="004126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B3AAA" w:rsidRDefault="00BB3AAA"/>
    <w:sectPr w:rsidR="00BB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3F80"/>
    <w:multiLevelType w:val="hybridMultilevel"/>
    <w:tmpl w:val="AF586238"/>
    <w:lvl w:ilvl="0" w:tplc="BF1E6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B1"/>
    <w:rsid w:val="001177B1"/>
    <w:rsid w:val="004126FB"/>
    <w:rsid w:val="00434D7A"/>
    <w:rsid w:val="004576CE"/>
    <w:rsid w:val="00744500"/>
    <w:rsid w:val="007832AC"/>
    <w:rsid w:val="00A81322"/>
    <w:rsid w:val="00B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Деминов</dc:creator>
  <cp:lastModifiedBy>Иван Деминов</cp:lastModifiedBy>
  <cp:revision>8</cp:revision>
  <dcterms:created xsi:type="dcterms:W3CDTF">2026-03-07T04:28:00Z</dcterms:created>
  <dcterms:modified xsi:type="dcterms:W3CDTF">2026-03-15T03:17:00Z</dcterms:modified>
</cp:coreProperties>
</file>