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4DD5F1C" w14:textId="6260EC6F" w:rsidR="00DD7151" w:rsidRDefault="00DE2CC7">
            <w:pPr>
              <w:tabs>
                <w:tab w:val="left" w:pos="708"/>
                <w:tab w:val="left" w:pos="1416"/>
                <w:tab w:val="left" w:pos="2124"/>
                <w:tab w:val="left" w:pos="2832"/>
                <w:tab w:val="left" w:pos="3540"/>
                <w:tab w:val="left" w:pos="4248"/>
                <w:tab w:val="center" w:pos="4678"/>
                <w:tab w:val="left" w:pos="4956"/>
                <w:tab w:val="left" w:pos="5664"/>
                <w:tab w:val="right" w:pos="9357"/>
              </w:tabs>
              <w:rPr>
                <w:sz w:val="24"/>
              </w:rPr>
            </w:pPr>
            <w:r>
              <w:rPr>
                <w:sz w:val="24"/>
              </w:rPr>
              <w:t>6</w:t>
            </w: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DE2CC7">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01303F37" w:rsidR="00DD7151" w:rsidRDefault="00674266">
      <w:pPr>
        <w:ind w:firstLine="709"/>
        <w:jc w:val="center"/>
        <w:rPr>
          <w:b/>
        </w:rPr>
      </w:pPr>
      <w:r>
        <w:rPr>
          <w:b/>
        </w:rPr>
        <w:t>О распределении дотаций, предоставляемых в 202</w:t>
      </w:r>
      <w:r w:rsidR="00DE2CC7">
        <w:rPr>
          <w:b/>
        </w:rPr>
        <w:t>6</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2CDD301A" w:rsidR="00DD7151" w:rsidRDefault="00674266">
      <w:pPr>
        <w:ind w:firstLine="709"/>
        <w:jc w:val="both"/>
      </w:pPr>
      <w:r>
        <w:t>Распределить дотации, предоставляемые в 202</w:t>
      </w:r>
      <w:r w:rsidR="00DE2CC7">
        <w:t>6</w:t>
      </w:r>
      <w: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w:t>
      </w:r>
      <w:r w:rsidR="003B2FEA">
        <w:t xml:space="preserve"> </w:t>
      </w:r>
      <w:r w:rsidR="00DE2CC7">
        <w:t>4 778 127</w:t>
      </w:r>
      <w:r w:rsidR="0093607A">
        <w:t xml:space="preserve"> </w:t>
      </w:r>
      <w:r>
        <w:t>(</w:t>
      </w:r>
      <w:r w:rsidR="00DE2CC7">
        <w:t>четыре миллиона семьсот семьдесят восемь тысяч сто двадцать семь</w:t>
      </w:r>
      <w:r>
        <w:t xml:space="preserve">) </w:t>
      </w:r>
      <w:r>
        <w:rPr>
          <w:bCs/>
        </w:rPr>
        <w:t>рубл</w:t>
      </w:r>
      <w:r w:rsidR="0093607A">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34D96BDA" w14:textId="68B922C9" w:rsidR="00DD7151" w:rsidRDefault="00194C4C">
      <w:r>
        <w:t>П</w:t>
      </w:r>
      <w:r w:rsidR="00674266">
        <w:t>ерв</w:t>
      </w:r>
      <w:r>
        <w:t>ый</w:t>
      </w:r>
      <w:r w:rsidR="00674266">
        <w:t xml:space="preserve"> заместител</w:t>
      </w:r>
      <w:r>
        <w:t>ь</w:t>
      </w:r>
    </w:p>
    <w:p w14:paraId="140B483D" w14:textId="77777777" w:rsidR="00DD7151" w:rsidRDefault="00674266">
      <w:r>
        <w:t xml:space="preserve">председателя Правительства </w:t>
      </w:r>
    </w:p>
    <w:p w14:paraId="0FDF0EED" w14:textId="609AA4F4" w:rsidR="00DD7151" w:rsidRDefault="00674266">
      <w:r>
        <w:t>Забайкальского края</w:t>
      </w:r>
      <w:r>
        <w:tab/>
      </w:r>
      <w:r>
        <w:tab/>
      </w:r>
      <w:r>
        <w:tab/>
      </w:r>
      <w:r>
        <w:tab/>
      </w:r>
      <w:r>
        <w:tab/>
        <w:t xml:space="preserve">                   </w:t>
      </w:r>
      <w:r w:rsidR="0093607A">
        <w:t xml:space="preserve"> </w:t>
      </w:r>
      <w:r>
        <w:t xml:space="preserve">   </w:t>
      </w:r>
      <w:r w:rsidR="0093607A" w:rsidRPr="0093607A">
        <w:t xml:space="preserve">Б.Б. </w:t>
      </w:r>
      <w:proofErr w:type="spellStart"/>
      <w:r w:rsidR="0093607A" w:rsidRPr="0093607A">
        <w:t>Батомункуев</w:t>
      </w:r>
      <w:proofErr w:type="spellEnd"/>
    </w:p>
    <w:p w14:paraId="44954CB5" w14:textId="051AC81B" w:rsidR="00A97A83" w:rsidRDefault="00A97A83" w:rsidP="00D74447">
      <w:pPr>
        <w:spacing w:line="360" w:lineRule="auto"/>
        <w:outlineLvl w:val="0"/>
        <w:rPr>
          <w:highlight w:val="yellow"/>
        </w:rPr>
      </w:pPr>
    </w:p>
    <w:p w14:paraId="6F7B6110" w14:textId="77777777" w:rsidR="00AF3A29" w:rsidRDefault="00AF3A29"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3E82F028" w:rsidR="00A97A83" w:rsidRDefault="00A97A83" w:rsidP="00A97A83">
      <w:pPr>
        <w:jc w:val="center"/>
        <w:rPr>
          <w:b/>
        </w:rPr>
      </w:pPr>
      <w:r>
        <w:rPr>
          <w:b/>
        </w:rPr>
        <w:t>дотаций, предоставляемых в 202</w:t>
      </w:r>
      <w:r w:rsidR="00DE2CC7">
        <w:rPr>
          <w:b/>
        </w:rPr>
        <w:t>6</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3B2FEA" w14:paraId="39E54D9E" w14:textId="77777777" w:rsidTr="00555B9D">
        <w:trPr>
          <w:trHeight w:val="2403"/>
          <w:tblHeader/>
        </w:trPr>
        <w:tc>
          <w:tcPr>
            <w:tcW w:w="709" w:type="dxa"/>
            <w:noWrap/>
            <w:vAlign w:val="center"/>
          </w:tcPr>
          <w:p w14:paraId="76F2658A" w14:textId="77777777" w:rsidR="003B2FEA" w:rsidRDefault="003B2FEA" w:rsidP="00555B9D">
            <w:pPr>
              <w:jc w:val="center"/>
              <w:rPr>
                <w:b/>
              </w:rPr>
            </w:pPr>
            <w:r>
              <w:rPr>
                <w:b/>
              </w:rPr>
              <w:t>№ п/п</w:t>
            </w:r>
          </w:p>
        </w:tc>
        <w:tc>
          <w:tcPr>
            <w:tcW w:w="6095" w:type="dxa"/>
            <w:noWrap/>
            <w:vAlign w:val="center"/>
          </w:tcPr>
          <w:p w14:paraId="4C2E56DE" w14:textId="77777777" w:rsidR="003B2FEA" w:rsidRDefault="003B2FEA" w:rsidP="00555B9D">
            <w:pPr>
              <w:jc w:val="center"/>
              <w:rPr>
                <w:b/>
              </w:rPr>
            </w:pPr>
            <w:r>
              <w:rPr>
                <w:b/>
              </w:rPr>
              <w:t xml:space="preserve">Наименование бюджетов </w:t>
            </w:r>
            <w:r w:rsidRPr="003106D8">
              <w:rPr>
                <w:b/>
              </w:rPr>
              <w:t xml:space="preserve">муниципальных районов, муниципальных округов </w:t>
            </w:r>
            <w:r>
              <w:rPr>
                <w:b/>
              </w:rPr>
              <w:t>и городских округов Забайкальского края</w:t>
            </w:r>
          </w:p>
        </w:tc>
        <w:tc>
          <w:tcPr>
            <w:tcW w:w="2410" w:type="dxa"/>
            <w:vAlign w:val="center"/>
          </w:tcPr>
          <w:p w14:paraId="28C766AE" w14:textId="77777777" w:rsidR="003B2FEA" w:rsidRDefault="003B2FEA" w:rsidP="00555B9D">
            <w:pPr>
              <w:jc w:val="center"/>
              <w:rPr>
                <w:b/>
                <w:bCs/>
              </w:rPr>
            </w:pPr>
            <w:r>
              <w:rPr>
                <w:b/>
                <w:bCs/>
              </w:rPr>
              <w:t xml:space="preserve">Сумма </w:t>
            </w:r>
          </w:p>
          <w:p w14:paraId="04BAE77F" w14:textId="0BD423C4" w:rsidR="003B2FEA" w:rsidRDefault="003B2FEA" w:rsidP="00555B9D">
            <w:pPr>
              <w:jc w:val="center"/>
              <w:rPr>
                <w:b/>
                <w:bCs/>
              </w:rPr>
            </w:pPr>
            <w:r>
              <w:rPr>
                <w:b/>
                <w:bCs/>
              </w:rPr>
              <w:t>на 202</w:t>
            </w:r>
            <w:r w:rsidR="00DE2CC7">
              <w:rPr>
                <w:b/>
                <w:bCs/>
              </w:rPr>
              <w:t>6</w:t>
            </w:r>
            <w:r>
              <w:rPr>
                <w:b/>
                <w:bCs/>
              </w:rPr>
              <w:t xml:space="preserve"> год, </w:t>
            </w:r>
          </w:p>
          <w:p w14:paraId="114FB527" w14:textId="77777777" w:rsidR="003B2FEA" w:rsidRDefault="003B2FEA" w:rsidP="00555B9D">
            <w:pPr>
              <w:jc w:val="center"/>
              <w:rPr>
                <w:b/>
                <w:bCs/>
              </w:rPr>
            </w:pPr>
            <w:r>
              <w:rPr>
                <w:b/>
                <w:bCs/>
              </w:rPr>
              <w:t xml:space="preserve"> рублей</w:t>
            </w:r>
          </w:p>
        </w:tc>
      </w:tr>
      <w:tr w:rsidR="003B2FEA" w14:paraId="5BA93433" w14:textId="77777777" w:rsidTr="00555B9D">
        <w:trPr>
          <w:trHeight w:val="381"/>
          <w:tblHeader/>
        </w:trPr>
        <w:tc>
          <w:tcPr>
            <w:tcW w:w="709" w:type="dxa"/>
            <w:noWrap/>
          </w:tcPr>
          <w:p w14:paraId="2CDF85EF" w14:textId="77777777" w:rsidR="003B2FEA" w:rsidRDefault="003B2FEA" w:rsidP="00555B9D">
            <w:pPr>
              <w:widowControl w:val="0"/>
              <w:jc w:val="center"/>
            </w:pPr>
            <w:r>
              <w:t>1</w:t>
            </w:r>
          </w:p>
        </w:tc>
        <w:tc>
          <w:tcPr>
            <w:tcW w:w="6095" w:type="dxa"/>
            <w:noWrap/>
          </w:tcPr>
          <w:p w14:paraId="1621EC02" w14:textId="77777777" w:rsidR="003B2FEA" w:rsidRDefault="003B2FEA" w:rsidP="00555B9D">
            <w:pPr>
              <w:widowControl w:val="0"/>
              <w:jc w:val="center"/>
            </w:pPr>
            <w:r>
              <w:t>2</w:t>
            </w:r>
          </w:p>
        </w:tc>
        <w:tc>
          <w:tcPr>
            <w:tcW w:w="2410" w:type="dxa"/>
          </w:tcPr>
          <w:p w14:paraId="2E67B576" w14:textId="77777777" w:rsidR="003B2FEA" w:rsidRDefault="003B2FEA" w:rsidP="00555B9D">
            <w:pPr>
              <w:widowControl w:val="0"/>
              <w:jc w:val="center"/>
            </w:pPr>
            <w:r>
              <w:t>3</w:t>
            </w:r>
          </w:p>
        </w:tc>
      </w:tr>
      <w:tr w:rsidR="00DE2CC7" w14:paraId="5A76F755" w14:textId="77777777" w:rsidTr="00555B9D">
        <w:trPr>
          <w:trHeight w:val="617"/>
        </w:trPr>
        <w:tc>
          <w:tcPr>
            <w:tcW w:w="709" w:type="dxa"/>
            <w:noWrap/>
          </w:tcPr>
          <w:p w14:paraId="7AAD5DC7" w14:textId="052BABB4" w:rsidR="00DE2CC7" w:rsidRDefault="00DE2CC7" w:rsidP="00DE2CC7">
            <w:pPr>
              <w:widowControl w:val="0"/>
              <w:jc w:val="center"/>
            </w:pPr>
            <w:r>
              <w:t>1.</w:t>
            </w:r>
          </w:p>
        </w:tc>
        <w:tc>
          <w:tcPr>
            <w:tcW w:w="6095" w:type="dxa"/>
            <w:noWrap/>
          </w:tcPr>
          <w:p w14:paraId="67F39AE5" w14:textId="12789CBA" w:rsidR="00DE2CC7" w:rsidRDefault="00DE2CC7" w:rsidP="00DE2CC7">
            <w:pPr>
              <w:widowControl w:val="0"/>
            </w:pPr>
            <w:r w:rsidRPr="00783C32">
              <w:t>Бюджет муниципального района «</w:t>
            </w:r>
            <w:r>
              <w:t>Сретенский</w:t>
            </w:r>
            <w:r w:rsidRPr="00783C32">
              <w:t xml:space="preserve"> район» Забайкальского края</w:t>
            </w:r>
          </w:p>
        </w:tc>
        <w:tc>
          <w:tcPr>
            <w:tcW w:w="2410" w:type="dxa"/>
          </w:tcPr>
          <w:p w14:paraId="078A29EC" w14:textId="38213E13" w:rsidR="00DE2CC7" w:rsidRDefault="00DE2CC7" w:rsidP="00DE2CC7">
            <w:pPr>
              <w:widowControl w:val="0"/>
              <w:jc w:val="center"/>
            </w:pPr>
            <w:r>
              <w:t>509 959,0</w:t>
            </w:r>
          </w:p>
        </w:tc>
      </w:tr>
      <w:tr w:rsidR="00DE2CC7" w14:paraId="2DAFA952" w14:textId="77777777" w:rsidTr="00555B9D">
        <w:trPr>
          <w:trHeight w:val="617"/>
        </w:trPr>
        <w:tc>
          <w:tcPr>
            <w:tcW w:w="709" w:type="dxa"/>
            <w:noWrap/>
          </w:tcPr>
          <w:p w14:paraId="20FB655A" w14:textId="3B7A2E69" w:rsidR="00DE2CC7" w:rsidRDefault="00DE2CC7" w:rsidP="00DE2CC7">
            <w:pPr>
              <w:widowControl w:val="0"/>
              <w:jc w:val="center"/>
            </w:pPr>
            <w:r>
              <w:t>2.</w:t>
            </w:r>
          </w:p>
        </w:tc>
        <w:tc>
          <w:tcPr>
            <w:tcW w:w="6095" w:type="dxa"/>
            <w:noWrap/>
          </w:tcPr>
          <w:p w14:paraId="676BEFA1" w14:textId="6E5722B6" w:rsidR="00DE2CC7" w:rsidRDefault="00DE2CC7" w:rsidP="00DE2CC7">
            <w:pPr>
              <w:widowControl w:val="0"/>
            </w:pPr>
            <w:r>
              <w:t>Бюджет муниципального района «Шилкинский район» Забайкальского края</w:t>
            </w:r>
          </w:p>
        </w:tc>
        <w:tc>
          <w:tcPr>
            <w:tcW w:w="2410" w:type="dxa"/>
          </w:tcPr>
          <w:p w14:paraId="32D4EDB3" w14:textId="1FDB88B8" w:rsidR="00DE2CC7" w:rsidRDefault="00DE2CC7" w:rsidP="00DE2CC7">
            <w:pPr>
              <w:widowControl w:val="0"/>
              <w:jc w:val="center"/>
            </w:pPr>
            <w:r>
              <w:t>247 243,0</w:t>
            </w:r>
          </w:p>
        </w:tc>
      </w:tr>
      <w:tr w:rsidR="00DE2CC7" w14:paraId="2CFFDB91" w14:textId="77777777" w:rsidTr="00555B9D">
        <w:trPr>
          <w:trHeight w:val="617"/>
        </w:trPr>
        <w:tc>
          <w:tcPr>
            <w:tcW w:w="709" w:type="dxa"/>
            <w:noWrap/>
          </w:tcPr>
          <w:p w14:paraId="05447B8C" w14:textId="598D67AB" w:rsidR="00DE2CC7" w:rsidRDefault="00FD4AB3" w:rsidP="00DE2CC7">
            <w:pPr>
              <w:widowControl w:val="0"/>
              <w:jc w:val="center"/>
            </w:pPr>
            <w:r>
              <w:t>3</w:t>
            </w:r>
            <w:r w:rsidR="00DE2CC7">
              <w:t>.</w:t>
            </w:r>
          </w:p>
        </w:tc>
        <w:tc>
          <w:tcPr>
            <w:tcW w:w="6095" w:type="dxa"/>
            <w:noWrap/>
          </w:tcPr>
          <w:p w14:paraId="2F44565E" w14:textId="39CA3ABC" w:rsidR="00DE2CC7" w:rsidRDefault="00DE2CC7" w:rsidP="00DE2CC7">
            <w:pPr>
              <w:widowControl w:val="0"/>
            </w:pPr>
            <w:r>
              <w:t xml:space="preserve">Бюджет Агинского муниципального округа Забайкальского края </w:t>
            </w:r>
          </w:p>
        </w:tc>
        <w:tc>
          <w:tcPr>
            <w:tcW w:w="2410" w:type="dxa"/>
          </w:tcPr>
          <w:p w14:paraId="6BB229F0" w14:textId="77F02128" w:rsidR="00DE2CC7" w:rsidRDefault="00DE2CC7" w:rsidP="00DE2CC7">
            <w:pPr>
              <w:widowControl w:val="0"/>
              <w:jc w:val="center"/>
            </w:pPr>
            <w:r>
              <w:t>322 070,0</w:t>
            </w:r>
          </w:p>
        </w:tc>
      </w:tr>
      <w:tr w:rsidR="00DE2CC7" w14:paraId="247FF706" w14:textId="77777777" w:rsidTr="00555B9D">
        <w:trPr>
          <w:trHeight w:val="617"/>
        </w:trPr>
        <w:tc>
          <w:tcPr>
            <w:tcW w:w="709" w:type="dxa"/>
            <w:noWrap/>
          </w:tcPr>
          <w:p w14:paraId="6E971B6C" w14:textId="3ED044E8" w:rsidR="00DE2CC7" w:rsidRDefault="00FD4AB3" w:rsidP="00DE2CC7">
            <w:pPr>
              <w:widowControl w:val="0"/>
              <w:jc w:val="center"/>
            </w:pPr>
            <w:r>
              <w:t>4</w:t>
            </w:r>
            <w:r w:rsidR="00DE2CC7">
              <w:t>.</w:t>
            </w:r>
          </w:p>
        </w:tc>
        <w:tc>
          <w:tcPr>
            <w:tcW w:w="6095" w:type="dxa"/>
            <w:noWrap/>
          </w:tcPr>
          <w:p w14:paraId="3603DE98" w14:textId="76F90A7F" w:rsidR="00DE2CC7" w:rsidRDefault="00DE2CC7" w:rsidP="00DE2CC7">
            <w:pPr>
              <w:widowControl w:val="0"/>
            </w:pPr>
            <w:r>
              <w:t xml:space="preserve">Бюджет </w:t>
            </w:r>
            <w:proofErr w:type="spellStart"/>
            <w:r>
              <w:t>Борзинского</w:t>
            </w:r>
            <w:proofErr w:type="spellEnd"/>
            <w:r>
              <w:t xml:space="preserve"> муниципального округа Забайкальского края</w:t>
            </w:r>
          </w:p>
        </w:tc>
        <w:tc>
          <w:tcPr>
            <w:tcW w:w="2410" w:type="dxa"/>
          </w:tcPr>
          <w:p w14:paraId="4D7F3779" w14:textId="0E20C67D" w:rsidR="00DE2CC7" w:rsidRDefault="00DE2CC7" w:rsidP="00DE2CC7">
            <w:pPr>
              <w:widowControl w:val="0"/>
              <w:jc w:val="center"/>
            </w:pPr>
            <w:r>
              <w:t>1 265 151,0</w:t>
            </w:r>
          </w:p>
        </w:tc>
      </w:tr>
      <w:tr w:rsidR="00DE2CC7" w14:paraId="5C7B655A" w14:textId="77777777" w:rsidTr="00555B9D">
        <w:trPr>
          <w:trHeight w:val="617"/>
        </w:trPr>
        <w:tc>
          <w:tcPr>
            <w:tcW w:w="709" w:type="dxa"/>
            <w:noWrap/>
          </w:tcPr>
          <w:p w14:paraId="5C346164" w14:textId="5C4EE3A6" w:rsidR="00DE2CC7" w:rsidRDefault="00FD4AB3" w:rsidP="00DE2CC7">
            <w:pPr>
              <w:widowControl w:val="0"/>
              <w:jc w:val="center"/>
            </w:pPr>
            <w:r>
              <w:t>5</w:t>
            </w:r>
            <w:r w:rsidR="00DE2CC7">
              <w:t>.</w:t>
            </w:r>
          </w:p>
        </w:tc>
        <w:tc>
          <w:tcPr>
            <w:tcW w:w="6095" w:type="dxa"/>
            <w:noWrap/>
          </w:tcPr>
          <w:p w14:paraId="60892CB7" w14:textId="374B08DC" w:rsidR="00DE2CC7" w:rsidRDefault="00DE2CC7" w:rsidP="00DE2CC7">
            <w:pPr>
              <w:widowControl w:val="0"/>
            </w:pPr>
            <w:r>
              <w:t>Бюджет Дульдургинского муниципального округа Забайкальского края</w:t>
            </w:r>
          </w:p>
        </w:tc>
        <w:tc>
          <w:tcPr>
            <w:tcW w:w="2410" w:type="dxa"/>
          </w:tcPr>
          <w:p w14:paraId="09855E32" w14:textId="2B37900B" w:rsidR="00DE2CC7" w:rsidRDefault="00DE2CC7" w:rsidP="00DE2CC7">
            <w:pPr>
              <w:widowControl w:val="0"/>
              <w:jc w:val="center"/>
            </w:pPr>
            <w:r>
              <w:t>189 771,0</w:t>
            </w:r>
          </w:p>
        </w:tc>
      </w:tr>
      <w:tr w:rsidR="00DE2CC7" w14:paraId="0D81EDD0" w14:textId="77777777" w:rsidTr="00555B9D">
        <w:trPr>
          <w:trHeight w:val="617"/>
        </w:trPr>
        <w:tc>
          <w:tcPr>
            <w:tcW w:w="709" w:type="dxa"/>
            <w:noWrap/>
          </w:tcPr>
          <w:p w14:paraId="1BC9AD96" w14:textId="275179F3" w:rsidR="00DE2CC7" w:rsidRDefault="00FD4AB3" w:rsidP="00DE2CC7">
            <w:pPr>
              <w:widowControl w:val="0"/>
              <w:jc w:val="center"/>
            </w:pPr>
            <w:r>
              <w:t>6</w:t>
            </w:r>
            <w:r w:rsidR="00DE2CC7">
              <w:t>.</w:t>
            </w:r>
          </w:p>
        </w:tc>
        <w:tc>
          <w:tcPr>
            <w:tcW w:w="6095" w:type="dxa"/>
            <w:noWrap/>
          </w:tcPr>
          <w:p w14:paraId="23151E1F" w14:textId="18C64309" w:rsidR="00DE2CC7" w:rsidRDefault="00DE2CC7" w:rsidP="00DE2CC7">
            <w:pPr>
              <w:widowControl w:val="0"/>
            </w:pPr>
            <w:r>
              <w:t xml:space="preserve">Бюджет </w:t>
            </w:r>
            <w:proofErr w:type="spellStart"/>
            <w:r>
              <w:t>Могойтуйского</w:t>
            </w:r>
            <w:proofErr w:type="spellEnd"/>
            <w:r>
              <w:t xml:space="preserve"> муниципального округа Забайкальского края</w:t>
            </w:r>
          </w:p>
        </w:tc>
        <w:tc>
          <w:tcPr>
            <w:tcW w:w="2410" w:type="dxa"/>
          </w:tcPr>
          <w:p w14:paraId="7C3161CD" w14:textId="20359F28" w:rsidR="00DE2CC7" w:rsidRDefault="00DE2CC7" w:rsidP="00DE2CC7">
            <w:pPr>
              <w:widowControl w:val="0"/>
              <w:jc w:val="center"/>
            </w:pPr>
            <w:r>
              <w:t>229 888,0</w:t>
            </w:r>
          </w:p>
        </w:tc>
      </w:tr>
      <w:tr w:rsidR="00DE2CC7" w14:paraId="6ED1D9B4" w14:textId="77777777" w:rsidTr="00555B9D">
        <w:trPr>
          <w:trHeight w:val="307"/>
        </w:trPr>
        <w:tc>
          <w:tcPr>
            <w:tcW w:w="709" w:type="dxa"/>
            <w:tcBorders>
              <w:top w:val="single" w:sz="4" w:space="0" w:color="000000"/>
              <w:left w:val="single" w:sz="4" w:space="0" w:color="000000"/>
              <w:bottom w:val="single" w:sz="4" w:space="0" w:color="000000"/>
              <w:right w:val="single" w:sz="4" w:space="0" w:color="000000"/>
            </w:tcBorders>
            <w:noWrap/>
          </w:tcPr>
          <w:p w14:paraId="0C2F3331" w14:textId="15D542AC" w:rsidR="00DE2CC7" w:rsidRDefault="00FD4AB3" w:rsidP="00DE2CC7">
            <w:pPr>
              <w:widowControl w:val="0"/>
              <w:jc w:val="center"/>
            </w:pPr>
            <w:r>
              <w:t>7</w:t>
            </w:r>
            <w:r w:rsidR="00DE2CC7">
              <w:t>.</w:t>
            </w:r>
          </w:p>
        </w:tc>
        <w:tc>
          <w:tcPr>
            <w:tcW w:w="6095" w:type="dxa"/>
            <w:tcBorders>
              <w:top w:val="single" w:sz="4" w:space="0" w:color="000000"/>
              <w:left w:val="single" w:sz="4" w:space="0" w:color="000000"/>
              <w:bottom w:val="single" w:sz="4" w:space="0" w:color="000000"/>
              <w:right w:val="single" w:sz="4" w:space="0" w:color="000000"/>
            </w:tcBorders>
            <w:noWrap/>
          </w:tcPr>
          <w:p w14:paraId="09CBA40A" w14:textId="77777777" w:rsidR="00DE2CC7" w:rsidRDefault="00DE2CC7" w:rsidP="00DE2CC7">
            <w:pPr>
              <w:widowControl w:val="0"/>
            </w:pPr>
            <w:r w:rsidRPr="00D36A9C">
              <w:t xml:space="preserve">Бюджет </w:t>
            </w:r>
            <w:proofErr w:type="spellStart"/>
            <w:r>
              <w:t>Нерчинско</w:t>
            </w:r>
            <w:proofErr w:type="spellEnd"/>
            <w:r>
              <w:t>-Заводского</w:t>
            </w:r>
            <w:r w:rsidRPr="00D36A9C">
              <w:t xml:space="preserve"> муниципального округа Забайкальского кра</w:t>
            </w:r>
            <w:bookmarkStart w:id="0" w:name="_GoBack"/>
            <w:bookmarkEnd w:id="0"/>
            <w:r w:rsidRPr="00D36A9C">
              <w:t>я</w:t>
            </w:r>
          </w:p>
        </w:tc>
        <w:tc>
          <w:tcPr>
            <w:tcW w:w="2410" w:type="dxa"/>
            <w:tcBorders>
              <w:top w:val="single" w:sz="4" w:space="0" w:color="000000"/>
              <w:left w:val="single" w:sz="4" w:space="0" w:color="000000"/>
              <w:bottom w:val="single" w:sz="4" w:space="0" w:color="000000"/>
              <w:right w:val="single" w:sz="4" w:space="0" w:color="000000"/>
            </w:tcBorders>
          </w:tcPr>
          <w:p w14:paraId="6460C0D0" w14:textId="4CB0362E" w:rsidR="00DE2CC7" w:rsidRDefault="00DE2CC7" w:rsidP="00DE2CC7">
            <w:pPr>
              <w:widowControl w:val="0"/>
              <w:jc w:val="center"/>
            </w:pPr>
            <w:r>
              <w:t>272 530,0</w:t>
            </w:r>
          </w:p>
        </w:tc>
      </w:tr>
      <w:tr w:rsidR="00DE2CC7" w14:paraId="1AC5FB86" w14:textId="77777777" w:rsidTr="00555B9D">
        <w:trPr>
          <w:trHeight w:val="307"/>
        </w:trPr>
        <w:tc>
          <w:tcPr>
            <w:tcW w:w="709" w:type="dxa"/>
            <w:noWrap/>
          </w:tcPr>
          <w:p w14:paraId="050A0C07" w14:textId="316B7A1B" w:rsidR="00DE2CC7" w:rsidRDefault="00DE2CC7" w:rsidP="00DE2CC7">
            <w:pPr>
              <w:widowControl w:val="0"/>
              <w:jc w:val="center"/>
            </w:pPr>
            <w:r>
              <w:t>8.</w:t>
            </w:r>
          </w:p>
        </w:tc>
        <w:tc>
          <w:tcPr>
            <w:tcW w:w="6095" w:type="dxa"/>
            <w:noWrap/>
          </w:tcPr>
          <w:p w14:paraId="6D7C247C" w14:textId="77777777" w:rsidR="00DE2CC7" w:rsidRDefault="00DE2CC7" w:rsidP="00DE2CC7">
            <w:pPr>
              <w:widowControl w:val="0"/>
            </w:pPr>
            <w:r w:rsidRPr="00D36A9C">
              <w:t xml:space="preserve">Бюджет </w:t>
            </w:r>
            <w:r>
              <w:t xml:space="preserve">Приаргунского </w:t>
            </w:r>
            <w:r w:rsidRPr="00D36A9C">
              <w:t>муниципального округа</w:t>
            </w:r>
            <w:r>
              <w:t xml:space="preserve"> Забайкальского края</w:t>
            </w:r>
          </w:p>
        </w:tc>
        <w:tc>
          <w:tcPr>
            <w:tcW w:w="2410" w:type="dxa"/>
          </w:tcPr>
          <w:p w14:paraId="4E908EE0" w14:textId="386521A1" w:rsidR="00DE2CC7" w:rsidRDefault="00DE2CC7" w:rsidP="00DE2CC7">
            <w:pPr>
              <w:widowControl w:val="0"/>
              <w:jc w:val="center"/>
            </w:pPr>
            <w:r>
              <w:t>362 187,0</w:t>
            </w:r>
          </w:p>
        </w:tc>
      </w:tr>
      <w:tr w:rsidR="00DE2CC7" w14:paraId="69E581A9" w14:textId="77777777" w:rsidTr="00555B9D">
        <w:trPr>
          <w:trHeight w:val="617"/>
        </w:trPr>
        <w:tc>
          <w:tcPr>
            <w:tcW w:w="709" w:type="dxa"/>
            <w:noWrap/>
          </w:tcPr>
          <w:p w14:paraId="640EBD77" w14:textId="1CE7220F" w:rsidR="00DE2CC7" w:rsidRDefault="00FD4AB3" w:rsidP="00DE2CC7">
            <w:pPr>
              <w:widowControl w:val="0"/>
              <w:jc w:val="center"/>
            </w:pPr>
            <w:r>
              <w:t>9</w:t>
            </w:r>
            <w:r w:rsidR="00DE2CC7">
              <w:t>.</w:t>
            </w:r>
          </w:p>
        </w:tc>
        <w:tc>
          <w:tcPr>
            <w:tcW w:w="6095" w:type="dxa"/>
            <w:noWrap/>
          </w:tcPr>
          <w:p w14:paraId="2487579F" w14:textId="77777777" w:rsidR="00DE2CC7" w:rsidRDefault="00DE2CC7" w:rsidP="00DE2CC7">
            <w:pPr>
              <w:jc w:val="both"/>
            </w:pPr>
            <w:r>
              <w:t>Бюджет городского округа «Поселок Агинское» Забайкальского края</w:t>
            </w:r>
          </w:p>
        </w:tc>
        <w:tc>
          <w:tcPr>
            <w:tcW w:w="2410" w:type="dxa"/>
          </w:tcPr>
          <w:p w14:paraId="77393CFC" w14:textId="18AC2E62" w:rsidR="00DE2CC7" w:rsidRDefault="00DE2CC7" w:rsidP="00DE2CC7">
            <w:pPr>
              <w:widowControl w:val="0"/>
              <w:jc w:val="center"/>
            </w:pPr>
            <w:r>
              <w:t>229 888,0</w:t>
            </w:r>
          </w:p>
        </w:tc>
      </w:tr>
      <w:tr w:rsidR="00DE2CC7" w14:paraId="6EC3115A" w14:textId="77777777" w:rsidTr="00555B9D">
        <w:trPr>
          <w:trHeight w:val="321"/>
        </w:trPr>
        <w:tc>
          <w:tcPr>
            <w:tcW w:w="709" w:type="dxa"/>
            <w:noWrap/>
          </w:tcPr>
          <w:p w14:paraId="24AC22D0" w14:textId="0266DE60" w:rsidR="00DE2CC7" w:rsidRDefault="00FD4AB3" w:rsidP="00DE2CC7">
            <w:pPr>
              <w:widowControl w:val="0"/>
              <w:jc w:val="center"/>
            </w:pPr>
            <w:r>
              <w:t>10</w:t>
            </w:r>
            <w:r w:rsidR="00DE2CC7">
              <w:t>.</w:t>
            </w:r>
          </w:p>
        </w:tc>
        <w:tc>
          <w:tcPr>
            <w:tcW w:w="6095" w:type="dxa"/>
            <w:noWrap/>
          </w:tcPr>
          <w:p w14:paraId="7AC0470C" w14:textId="6D8CB3D8" w:rsidR="00DE2CC7" w:rsidRDefault="00DE2CC7" w:rsidP="00DE2CC7">
            <w:pPr>
              <w:widowControl w:val="0"/>
            </w:pPr>
            <w:r>
              <w:t xml:space="preserve">Бюджет городского округа «Город Чита» </w:t>
            </w:r>
          </w:p>
        </w:tc>
        <w:tc>
          <w:tcPr>
            <w:tcW w:w="2410" w:type="dxa"/>
          </w:tcPr>
          <w:p w14:paraId="3D728E1F" w14:textId="58564B4D" w:rsidR="00DE2CC7" w:rsidRDefault="00DE2CC7" w:rsidP="00DE2CC7">
            <w:pPr>
              <w:widowControl w:val="0"/>
              <w:jc w:val="center"/>
            </w:pPr>
            <w:r>
              <w:t>1 149 440,0</w:t>
            </w:r>
          </w:p>
        </w:tc>
      </w:tr>
      <w:tr w:rsidR="00DE2CC7" w14:paraId="6A70F7C1" w14:textId="77777777" w:rsidTr="00555B9D">
        <w:trPr>
          <w:trHeight w:val="552"/>
        </w:trPr>
        <w:tc>
          <w:tcPr>
            <w:tcW w:w="709" w:type="dxa"/>
            <w:noWrap/>
          </w:tcPr>
          <w:p w14:paraId="792884C0" w14:textId="77777777" w:rsidR="00DE2CC7" w:rsidRDefault="00DE2CC7" w:rsidP="00DE2CC7">
            <w:pPr>
              <w:jc w:val="center"/>
            </w:pPr>
          </w:p>
        </w:tc>
        <w:tc>
          <w:tcPr>
            <w:tcW w:w="6095" w:type="dxa"/>
            <w:noWrap/>
          </w:tcPr>
          <w:p w14:paraId="2279B010" w14:textId="77777777" w:rsidR="00DE2CC7" w:rsidRDefault="00DE2CC7" w:rsidP="00DE2CC7">
            <w:pPr>
              <w:rPr>
                <w:b/>
                <w:bCs/>
              </w:rPr>
            </w:pPr>
            <w:r>
              <w:rPr>
                <w:b/>
                <w:bCs/>
              </w:rPr>
              <w:t>Всего</w:t>
            </w:r>
          </w:p>
        </w:tc>
        <w:tc>
          <w:tcPr>
            <w:tcW w:w="2410" w:type="dxa"/>
          </w:tcPr>
          <w:p w14:paraId="31642876" w14:textId="2892F527" w:rsidR="00DE2CC7" w:rsidRDefault="00FD4AB3" w:rsidP="00DE2CC7">
            <w:pPr>
              <w:jc w:val="center"/>
              <w:rPr>
                <w:b/>
              </w:rPr>
            </w:pPr>
            <w:r>
              <w:rPr>
                <w:b/>
              </w:rPr>
              <w:t>4 778 127,0</w:t>
            </w:r>
          </w:p>
        </w:tc>
      </w:tr>
    </w:tbl>
    <w:p w14:paraId="325B30E1" w14:textId="77777777" w:rsidR="00A97A83" w:rsidRDefault="00A97A83" w:rsidP="00A97A83">
      <w:pPr>
        <w:jc w:val="center"/>
      </w:pPr>
    </w:p>
    <w:p w14:paraId="2F35AB68" w14:textId="2F6E29CB" w:rsidR="00A97A83" w:rsidRPr="00527623" w:rsidRDefault="00A97A83" w:rsidP="007E44F8">
      <w:pPr>
        <w:jc w:val="center"/>
        <w:rPr>
          <w:color w:val="auto"/>
        </w:rPr>
      </w:pPr>
      <w:r w:rsidRPr="00527623">
        <w:rPr>
          <w:color w:val="auto"/>
        </w:rPr>
        <w:t>_______________________</w:t>
      </w:r>
    </w:p>
    <w:sectPr w:rsidR="00A97A83" w:rsidRPr="0052762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194C4C"/>
    <w:rsid w:val="002127AD"/>
    <w:rsid w:val="00225FE3"/>
    <w:rsid w:val="00242EAB"/>
    <w:rsid w:val="00294309"/>
    <w:rsid w:val="0030437A"/>
    <w:rsid w:val="003106D8"/>
    <w:rsid w:val="0031522B"/>
    <w:rsid w:val="003B2FEA"/>
    <w:rsid w:val="003B473E"/>
    <w:rsid w:val="00424093"/>
    <w:rsid w:val="00450A15"/>
    <w:rsid w:val="004F0C1B"/>
    <w:rsid w:val="00527623"/>
    <w:rsid w:val="00595846"/>
    <w:rsid w:val="00672B65"/>
    <w:rsid w:val="00674266"/>
    <w:rsid w:val="00680CF1"/>
    <w:rsid w:val="00681F6D"/>
    <w:rsid w:val="007008C1"/>
    <w:rsid w:val="00706B79"/>
    <w:rsid w:val="007130DE"/>
    <w:rsid w:val="007E44F8"/>
    <w:rsid w:val="007E721D"/>
    <w:rsid w:val="007F32F2"/>
    <w:rsid w:val="00832F02"/>
    <w:rsid w:val="00834860"/>
    <w:rsid w:val="00855352"/>
    <w:rsid w:val="008F7158"/>
    <w:rsid w:val="00924B20"/>
    <w:rsid w:val="009323DB"/>
    <w:rsid w:val="0093607A"/>
    <w:rsid w:val="00956844"/>
    <w:rsid w:val="009F4731"/>
    <w:rsid w:val="00A44C2A"/>
    <w:rsid w:val="00A97A83"/>
    <w:rsid w:val="00AB1B45"/>
    <w:rsid w:val="00AF3A29"/>
    <w:rsid w:val="00B2069F"/>
    <w:rsid w:val="00C2738E"/>
    <w:rsid w:val="00C64533"/>
    <w:rsid w:val="00C751DB"/>
    <w:rsid w:val="00C97EFF"/>
    <w:rsid w:val="00CA4006"/>
    <w:rsid w:val="00CB14F3"/>
    <w:rsid w:val="00D05742"/>
    <w:rsid w:val="00D43E5B"/>
    <w:rsid w:val="00D74447"/>
    <w:rsid w:val="00D96360"/>
    <w:rsid w:val="00DD7151"/>
    <w:rsid w:val="00DE2CC7"/>
    <w:rsid w:val="00EC09B8"/>
    <w:rsid w:val="00F111DA"/>
    <w:rsid w:val="00FD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Pages>
  <Words>457</Words>
  <Characters>2607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111</cp:revision>
  <cp:lastPrinted>2026-04-07T01:59:00Z</cp:lastPrinted>
  <dcterms:created xsi:type="dcterms:W3CDTF">2022-08-10T00:12:00Z</dcterms:created>
  <dcterms:modified xsi:type="dcterms:W3CDTF">2026-04-07T01:59:00Z</dcterms:modified>
  <cp:version>1048576</cp:version>
</cp:coreProperties>
</file>