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3275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032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5pt;height:69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shd w:val="clear" w:color="auto" w:fill="ffffff"/>
        <w:jc w:val="center"/>
        <w:rPr>
          <w:bCs/>
          <w:color w:val="auto"/>
          <w:spacing w:val="-6"/>
        </w:rPr>
      </w:pPr>
      <w:r>
        <w:rPr>
          <w:bCs/>
          <w:color w:val="auto"/>
          <w:spacing w:val="-6"/>
        </w:rPr>
      </w:r>
      <w:r>
        <w:rPr>
          <w:bCs/>
          <w:color w:val="auto"/>
          <w:spacing w:val="-6"/>
        </w:rPr>
      </w:r>
      <w:r>
        <w:rPr>
          <w:bCs/>
          <w:color w:val="auto"/>
          <w:spacing w:val="-6"/>
        </w:rPr>
      </w:r>
    </w:p>
    <w:p>
      <w:pPr>
        <w:shd w:val="clear" w:color="auto" w:fill="ffffff"/>
        <w:jc w:val="center"/>
        <w:rPr>
          <w:bCs/>
          <w:color w:val="auto"/>
          <w:spacing w:val="-6"/>
        </w:rPr>
      </w:pPr>
      <w:r>
        <w:rPr>
          <w:bCs/>
          <w:color w:val="auto"/>
          <w:spacing w:val="-6"/>
        </w:rPr>
      </w:r>
      <w:r>
        <w:rPr>
          <w:bCs/>
          <w:color w:val="auto"/>
          <w:spacing w:val="-6"/>
        </w:rPr>
      </w:r>
      <w:r>
        <w:rPr>
          <w:bCs/>
          <w:color w:val="auto"/>
          <w:spacing w:val="-6"/>
        </w:rPr>
      </w:r>
    </w:p>
    <w:p>
      <w:pPr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b/>
        </w:rPr>
        <w:t xml:space="preserve">О </w:t>
      </w:r>
      <w:r>
        <w:rPr>
          <w:b/>
          <w:lang w:bidi="ru-RU"/>
        </w:rPr>
        <w:t xml:space="preserve">внесении изменени</w:t>
      </w:r>
      <w:r>
        <w:rPr>
          <w:b/>
          <w:lang w:bidi="ru-RU"/>
        </w:rPr>
        <w:t xml:space="preserve">й</w:t>
      </w:r>
      <w:r>
        <w:rPr>
          <w:b/>
          <w:lang w:bidi="ru-RU"/>
        </w:rPr>
        <w:t xml:space="preserve"> </w:t>
      </w:r>
      <w:r>
        <w:rPr>
          <w:b/>
          <w:lang w:bidi="ru-RU"/>
        </w:rPr>
        <w:t xml:space="preserve">в некоторые постановления Правительства Забайкальского края в сфере социальной защиты населения</w:t>
      </w:r>
      <w:r>
        <w:rPr>
          <w:rFonts w:eastAsiaTheme="minorHAnsi"/>
          <w:b/>
          <w:bCs/>
          <w:color w:val="auto"/>
          <w:lang w:eastAsia="en-US"/>
        </w:rPr>
      </w:r>
      <w:r>
        <w:rPr>
          <w:rFonts w:eastAsiaTheme="minorHAnsi"/>
          <w:b/>
          <w:bCs/>
          <w:color w:val="auto"/>
          <w:lang w:eastAsia="en-US"/>
        </w:rPr>
      </w:r>
    </w:p>
    <w:p>
      <w:pPr>
        <w:pStyle w:val="914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914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ind w:firstLine="709"/>
        <w:jc w:val="both"/>
        <w:rPr>
          <w:spacing w:val="40"/>
        </w:rPr>
      </w:pPr>
      <w:r>
        <w:t xml:space="preserve">Правительство Забайкальского края </w:t>
      </w:r>
      <w:r>
        <w:rPr>
          <w:b/>
          <w:spacing w:val="20"/>
        </w:rPr>
        <w:t xml:space="preserve">постановляет</w:t>
      </w:r>
      <w:r>
        <w:rPr>
          <w:spacing w:val="40"/>
        </w:rPr>
        <w:t xml:space="preserve">:</w:t>
      </w:r>
      <w:r>
        <w:rPr>
          <w:spacing w:val="40"/>
        </w:rPr>
      </w:r>
      <w:r>
        <w:rPr>
          <w:spacing w:val="40"/>
        </w:rPr>
      </w:r>
    </w:p>
    <w:p>
      <w:pPr>
        <w:ind w:firstLine="709"/>
        <w:jc w:val="both"/>
        <w:rPr>
          <w:spacing w:val="40"/>
        </w:rPr>
      </w:pPr>
      <w:r>
        <w:rPr>
          <w:spacing w:val="40"/>
        </w:rPr>
      </w:r>
      <w:r>
        <w:rPr>
          <w:spacing w:val="40"/>
        </w:rPr>
      </w:r>
      <w:r>
        <w:rPr>
          <w:spacing w:val="40"/>
        </w:rPr>
      </w:r>
    </w:p>
    <w:p>
      <w:pPr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Утвердить прилагаемые </w:t>
      </w:r>
      <w:hyperlink r:id="rId12" w:tooltip="https://login.consultant.ru/link/?req=doc&amp;base=RLAW251&amp;n=1668072&amp;dst=100008" w:history="1">
        <w:r>
          <w:rPr>
            <w:rFonts w:eastAsiaTheme="minorHAnsi"/>
            <w:color w:val="auto"/>
            <w:lang w:eastAsia="en-US"/>
          </w:rPr>
          <w:t xml:space="preserve">изменения</w:t>
        </w:r>
      </w:hyperlink>
      <w:r>
        <w:rPr>
          <w:rFonts w:eastAsiaTheme="minorHAnsi"/>
          <w:color w:val="auto"/>
          <w:lang w:eastAsia="en-US"/>
        </w:rPr>
        <w:t xml:space="preserve">, которые вносятся в некоторые постановления Правительства Забайкальского края в сфере социальной защиты населения.</w:t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  <w:r>
        <w:rPr>
          <w:rFonts w:eastAsiaTheme="minorHAnsi"/>
          <w:color w:val="auto"/>
          <w:lang w:eastAsia="en-US"/>
        </w:rPr>
      </w:r>
    </w:p>
    <w:p>
      <w:pPr>
        <w:widowControl w:val="off"/>
        <w:jc w:val="both"/>
      </w:pPr>
      <w:r>
        <w:t xml:space="preserve">Первый заместитель</w:t>
      </w:r>
    </w:p>
    <w:p>
      <w:pPr>
        <w:widowControl w:val="off"/>
        <w:jc w:val="both"/>
      </w:pPr>
      <w:r>
        <w:t xml:space="preserve">председателя Правительства</w:t>
      </w:r>
    </w:p>
    <w:p>
      <w:pPr>
        <w:widowControl w:val="off"/>
        <w:jc w:val="both"/>
      </w:pPr>
      <w:r>
        <w:t xml:space="preserve">Забайкальского края  </w:t>
      </w:r>
      <w:r>
        <w:t xml:space="preserve">                                                                   Б.Б.Батомункуев</w:t>
      </w:r>
    </w:p>
    <w:p>
      <w:pPr>
        <w:spacing w:after="200" w:line="276" w:lineRule="auto"/>
      </w:pPr>
      <w:r>
        <w:br w:type="page" w:clear="all"/>
      </w:r>
    </w:p>
    <w:p>
      <w:pPr>
        <w:spacing w:line="360" w:lineRule="auto"/>
        <w:ind w:left="5528"/>
        <w:jc w:val="center"/>
        <w:outlineLvl w:val="0"/>
        <w:rPr>
          <w:color w:val="auto"/>
        </w:rPr>
      </w:pPr>
      <w:r>
        <w:rPr>
          <w:color w:val="auto"/>
        </w:rPr>
        <w:t xml:space="preserve">УТВЕРЖДЕНЫ</w:t>
      </w:r>
      <w:r>
        <w:rPr>
          <w:color w:val="auto"/>
        </w:rPr>
      </w:r>
      <w:r>
        <w:rPr>
          <w:color w:val="auto"/>
        </w:rPr>
      </w:r>
    </w:p>
    <w:p>
      <w:pPr>
        <w:ind w:left="5529"/>
        <w:jc w:val="center"/>
        <w:outlineLvl w:val="0"/>
        <w:rPr>
          <w:color w:val="auto"/>
        </w:rPr>
      </w:pPr>
      <w:r>
        <w:rPr>
          <w:color w:val="auto"/>
        </w:rPr>
        <w:t xml:space="preserve">постановлением Правительства Забайкальского края</w:t>
      </w:r>
      <w:r>
        <w:rPr>
          <w:color w:val="auto"/>
        </w:rPr>
      </w:r>
      <w:r>
        <w:rPr>
          <w:color w:val="auto"/>
        </w:rPr>
      </w:r>
    </w:p>
    <w:p>
      <w:pPr>
        <w:ind w:firstLine="567"/>
        <w:jc w:val="center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ind w:firstLine="567"/>
        <w:jc w:val="center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jc w:val="center"/>
        <w:rPr>
          <w:b/>
          <w:color w:val="auto"/>
        </w:rPr>
      </w:pPr>
      <w:r>
        <w:rPr>
          <w:b/>
          <w:color w:val="auto"/>
        </w:rPr>
        <w:t xml:space="preserve">ИЗМЕНЕНИЯ,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некоторые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Забайкальского края в сфере социальной защиты населения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off"/>
        <w:jc w:val="both"/>
      </w:pPr>
    </w:p>
    <w:p>
      <w:pPr>
        <w:pStyle w:val="917"/>
        <w:numPr>
          <w:numId w:val="17"/>
          <w:ilvl w:val="0"/>
        </w:numPr>
        <w:tabs>
          <w:tab w:val="left" w:pos="1134" w:leader="none"/>
        </w:tabs>
        <w:ind w:left="0" w:right="0" w:firstLine="1069"/>
        <w:jc w:val="both"/>
      </w:pPr>
      <w:r>
        <w:rPr>
          <w:highlight w:val="none"/>
        </w:rPr>
        <w:t xml:space="preserve">В постановлении Правительства Забайкальского края от </w:t>
      </w:r>
      <w:r>
        <w:t xml:space="preserve">29 марта 2023 года № 153 «О </w:t>
      </w:r>
      <w:r>
        <w:rPr>
          <w:highlight w:val="none"/>
        </w:rPr>
        <w:t xml:space="preserve">предоставлении </w:t>
      </w:r>
      <w:r>
        <w:t xml:space="preserve">единовременной выплаты гражданам Российс</w:t>
      </w:r>
      <w:r>
        <w:t xml:space="preserve">кой Федерации и иностранным гражданам, заключившим в период с 1 марта 2023 года до окончания специальной военной операции контракт о прохождении военной службы в Вооруженных Силах Российской Федерации, в войсках национальной гвардии Российской Федерации» </w:t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(с изменениями,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внесенными постановлениями Правительства Забайкальского края от 5 июня 2023 года № 278, от 30 июня 2023 года № 327, от 21 сентября 2023 года № 511, от 8 ноября 2023 года № 602, от 12 декабря 2023 года № 665, от 10 ноября 2025 года № 639)</w:t>
      </w:r>
      <w:r>
        <w:t xml:space="preserve">:</w:t>
      </w:r>
      <w:r>
        <w:t xml:space="preserve"> </w:t>
      </w:r>
    </w:p>
    <w:p>
      <w:pPr>
        <w:tabs>
          <w:tab w:val="left" w:pos="1134" w:leader="none"/>
        </w:tabs>
        <w:ind w:left="0" w:right="0" w:firstLine="1069"/>
        <w:jc w:val="both"/>
        <w:rPr>
          <w:highlight w:val="none"/>
        </w:rPr>
      </w:pPr>
      <w:r>
        <w:rPr>
          <w:highlight w:val="none"/>
        </w:rPr>
        <w:t xml:space="preserve">1) в наименовании 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1069"/>
        <w:jc w:val="both"/>
        <w:rPr>
          <w:highlight w:val="none"/>
        </w:rPr>
      </w:pPr>
      <w:r>
        <w:rPr>
          <w:highlight w:val="none"/>
        </w:rPr>
        <w:t xml:space="preserve">2) в преамбуле слова </w:t>
      </w:r>
      <w:r>
        <w:rPr>
          <w:highlight w:val="none"/>
        </w:rPr>
        <w:t xml:space="preserve">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1069"/>
        <w:jc w:val="both"/>
        <w:rPr>
          <w:highlight w:val="none"/>
        </w:rPr>
      </w:pPr>
      <w:r>
        <w:rPr>
          <w:highlight w:val="none"/>
        </w:rPr>
        <w:t xml:space="preserve"> 3) в пункте 1 слова </w:t>
      </w:r>
      <w:r>
        <w:rPr>
          <w:highlight w:val="none"/>
        </w:rPr>
        <w:t xml:space="preserve">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1069"/>
        <w:jc w:val="both"/>
        <w:rPr>
          <w:highlight w:val="none"/>
        </w:rPr>
      </w:pPr>
      <w:r>
        <w:rPr>
          <w:highlight w:val="none"/>
        </w:rPr>
        <w:t xml:space="preserve">4) в пункте 2 </w:t>
      </w:r>
      <w:r>
        <w:rPr>
          <w:highlight w:val="none"/>
        </w:rPr>
        <w:t xml:space="preserve">слова </w:t>
      </w:r>
      <w:r>
        <w:rPr>
          <w:highlight w:val="none"/>
        </w:rPr>
        <w:t xml:space="preserve">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года».</w:t>
      </w:r>
      <w:r>
        <w:rPr>
          <w:highlight w:val="none"/>
        </w:rPr>
      </w:r>
      <w:r>
        <w:rPr>
          <w:highlight w:val="none"/>
        </w:rPr>
      </w:r>
    </w:p>
    <w:p>
      <w:pPr>
        <w:pStyle w:val="917"/>
        <w:numPr>
          <w:numId w:val="17"/>
          <w:ilvl w:val="0"/>
        </w:numPr>
        <w:tabs>
          <w:tab w:val="left" w:pos="1134" w:leader="none"/>
        </w:tabs>
        <w:ind w:left="0" w:right="0" w:firstLine="1069"/>
        <w:jc w:val="both"/>
      </w:pPr>
      <w:r>
        <w:rPr>
          <w:highlight w:val="none"/>
        </w:rPr>
      </w:r>
      <w:r>
        <w:t xml:space="preserve">В Положении о предоставлении единовременной выплаты гражданам Российс</w:t>
      </w:r>
      <w:r>
        <w:t xml:space="preserve">кой Федерации и иностранным гражданам, заключившим в период с 1 марта 2023 года до окончания специальной военной операции контракт о прохождении военной службы в Вооруженных Силах Российской Федерации, в войсках национальной гвардии Российской Федерации,</w:t>
      </w:r>
      <w:r>
        <w:t xml:space="preserve"> </w:t>
      </w:r>
      <w:r>
        <w:rPr>
          <w:highlight w:val="white"/>
        </w:rPr>
        <w:t xml:space="preserve">утвержденном</w:t>
      </w:r>
      <w:r>
        <w:rPr>
          <w:highlight w:val="white"/>
        </w:rPr>
        <w:t xml:space="preserve"> </w:t>
      </w:r>
      <w:r>
        <w:t xml:space="preserve">указанным постановлением:</w:t>
      </w:r>
    </w:p>
    <w:p>
      <w:pPr>
        <w:tabs>
          <w:tab w:val="left" w:pos="1134" w:leader="none"/>
        </w:tabs>
        <w:ind w:left="0" w:right="0" w:firstLine="1069"/>
        <w:jc w:val="both"/>
        <w:rPr>
          <w:highlight w:val="none"/>
        </w:rPr>
      </w:pPr>
      <w:r>
        <w:rPr>
          <w:highlight w:val="none"/>
        </w:rPr>
        <w:t xml:space="preserve">1) в наименовании 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1069"/>
        <w:jc w:val="both"/>
      </w:pPr>
      <w:r>
        <w:rPr>
          <w:highlight w:val="none"/>
        </w:rPr>
        <w:t xml:space="preserve">2) в пункте 1 </w:t>
      </w:r>
      <w:r>
        <w:rPr>
          <w:highlight w:val="none"/>
        </w:rPr>
        <w:t xml:space="preserve">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</w:t>
      </w:r>
      <w:r>
        <w:rPr>
          <w:highlight w:val="none"/>
        </w:rPr>
        <w:t xml:space="preserve">;</w:t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0"/>
        <w:jc w:val="both"/>
      </w:pPr>
      <w:r>
        <w:t xml:space="preserve">               3) </w:t>
      </w:r>
      <w:r>
        <w:rPr>
          <w:highlight w:val="none"/>
        </w:rPr>
        <w:t xml:space="preserve">в пункте 4:</w:t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 xml:space="preserve">                а) в подпункте 1 </w:t>
      </w:r>
      <w:r>
        <w:rPr>
          <w:highlight w:val="none"/>
        </w:rPr>
        <w:t xml:space="preserve">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</w:t>
      </w:r>
      <w:r>
        <w:rPr>
          <w:highlight w:val="none"/>
        </w:rPr>
        <w:t xml:space="preserve">;</w:t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 xml:space="preserve">                б) в подпункте 2 </w:t>
      </w:r>
      <w:r>
        <w:rPr>
          <w:highlight w:val="none"/>
        </w:rPr>
        <w:t xml:space="preserve">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в) в подпункте 3 </w:t>
      </w:r>
      <w:r>
        <w:rPr>
          <w:highlight w:val="none"/>
        </w:rPr>
        <w:t xml:space="preserve">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г) подпункте 4 </w:t>
      </w:r>
      <w:r>
        <w:rPr>
          <w:highlight w:val="none"/>
        </w:rPr>
        <w:t xml:space="preserve">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 словами «до 1 августа 2024 года»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д) подпункте 5 </w:t>
      </w:r>
      <w:r>
        <w:rPr>
          <w:highlight w:val="none"/>
        </w:rPr>
        <w:t xml:space="preserve">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3. В приложении к </w:t>
      </w:r>
      <w:r>
        <w:t xml:space="preserve">Положению о предоставлении единовременной выплаты гражданам Российс</w:t>
      </w:r>
      <w:r>
        <w:t xml:space="preserve">кой Федерации  и иностранным гражданам, заключившим в период с 1 марта 2023 года до окончания специальной военной операции контракт о прохождении военной службы в Вооруженных Силах Российской Федерации, в войсках национальной гвардии Российской Федерации,</w:t>
      </w:r>
      <w:r>
        <w:t xml:space="preserve"> </w:t>
      </w:r>
      <w:r>
        <w:rPr>
          <w:highlight w:val="white"/>
        </w:rPr>
        <w:t xml:space="preserve">утвержденном</w:t>
      </w:r>
      <w:r>
        <w:rPr>
          <w:highlight w:val="white"/>
        </w:rPr>
        <w:t xml:space="preserve"> </w:t>
      </w:r>
      <w:r>
        <w:t xml:space="preserve">указанным постановлением: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1069"/>
        <w:jc w:val="both"/>
        <w:rPr>
          <w:highlight w:val="none"/>
        </w:rPr>
      </w:pPr>
      <w:r>
        <w:rPr>
          <w:highlight w:val="none"/>
        </w:rPr>
        <w:t xml:space="preserve">1) в угловом реквизите 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1069"/>
        <w:jc w:val="both"/>
        <w:rPr>
          <w:highlight w:val="white"/>
        </w:rPr>
      </w:pPr>
      <w:r>
        <w:rPr>
          <w:highlight w:val="white"/>
        </w:rPr>
        <w:t xml:space="preserve">2) в наименовании </w:t>
      </w:r>
      <w:r>
        <w:rPr>
          <w:highlight w:val="white"/>
        </w:rPr>
        <w:t xml:space="preserve">слова «до </w:t>
      </w:r>
      <w:r>
        <w:rPr>
          <w:highlight w:val="white"/>
        </w:rPr>
        <w:t xml:space="preserve">окончания специальной военной операции</w:t>
      </w:r>
      <w:r>
        <w:rPr>
          <w:highlight w:val="white"/>
        </w:rPr>
        <w:t xml:space="preserve">» заменить словами «до 1 августа 2024 года».</w:t>
      </w: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0" w:leader="none"/>
          <w:tab w:val="left" w:pos="1134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</w:r>
      <w:r>
        <w:rPr>
          <w:highlight w:val="none"/>
        </w:rPr>
        <w:t xml:space="preserve">4.</w:t>
      </w:r>
      <w:r>
        <w:t xml:space="preserve"> В пункте 2 постановления Правительства </w:t>
      </w:r>
      <w:r>
        <w:t xml:space="preserve">Забайкальского края от 8 августа  2024 года № 393 </w:t>
      </w:r>
      <w:r>
        <w:t xml:space="preserve">«О предоставлении единовременной выплаты гражданам Российс</w:t>
      </w:r>
      <w:r>
        <w:t xml:space="preserve">кой Федерации и иностранным гражданам, заключившим в период с 1 августа 2024 года по 31 декабря 2024 года </w:t>
      </w:r>
      <w:r>
        <w:t xml:space="preserve"> контракт о прохождении военной службы в Вооруженных Силах Российской Федерации»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(с изменениями,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внесенными постановлением Правительства Забайкальского края от 10 ноября 2025 года № 639), </w:t>
      </w:r>
      <w:r>
        <w:rPr>
          <w:highlight w:val="none"/>
        </w:rPr>
        <w:t xml:space="preserve">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1134" w:leader="none"/>
        </w:tabs>
        <w:ind w:left="0" w:right="0" w:firstLine="0"/>
        <w:jc w:val="both"/>
      </w:pPr>
      <w:r>
        <w:tab/>
        <w:t xml:space="preserve">5.</w:t>
      </w:r>
      <w:r>
        <w:t xml:space="preserve"> В пункте 3 </w:t>
      </w:r>
      <w:r>
        <w:t xml:space="preserve">постановления Правительства </w:t>
      </w:r>
      <w:r>
        <w:t xml:space="preserve">Забайкальского края</w:t>
      </w:r>
      <w:r>
        <w:t xml:space="preserve"> </w:t>
      </w:r>
      <w:r>
        <w:t xml:space="preserve">от  22 января 2025 года № 14</w:t>
      </w:r>
      <w:r>
        <w:t xml:space="preserve"> «О предоставлении единовременной выплаты военнослужащим, проходящим военную службу по контракту </w:t>
      </w:r>
      <w:r>
        <w:t xml:space="preserve">в Вооруженных Силах Российской Федерации, войсках национальной гвардии Российской Федерации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(с изменениями,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внесенными постановлениями Правительства Забайкальского края от 18 февраля 2025 года № 73, от 25 апреля 2025 </w:t>
      </w:r>
      <w:r>
        <w:t xml:space="preserve">года </w:t>
      </w:r>
      <w: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217, от 9 июня 2025 года № 293, от 10 ноября 2025 года № 639 от 27 февраля 2026 года № 89),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слова «до </w:t>
      </w:r>
      <w:r>
        <w:t xml:space="preserve">окончания специальной военной операции</w:t>
      </w:r>
      <w:r>
        <w:rPr>
          <w:highlight w:val="none"/>
        </w:rPr>
        <w:t xml:space="preserve">» заменить словами «до 1 августа 2024 года»</w:t>
      </w:r>
      <w:r>
        <w:t xml:space="preserve">.</w:t>
      </w:r>
      <w:r>
        <w:rPr>
          <w:highlight w:val="none"/>
        </w:rPr>
      </w:r>
    </w:p>
    <w:p>
      <w:pPr>
        <w:tabs>
          <w:tab w:val="left" w:pos="1134" w:leader="none"/>
        </w:tabs>
        <w:ind w:left="0" w:firstLine="0"/>
        <w:jc w:val="both"/>
      </w:pPr>
    </w:p>
    <w:p>
      <w:pPr>
        <w:tabs>
          <w:tab w:val="left" w:pos="1134" w:leader="none"/>
        </w:tabs>
        <w:ind w:left="0" w:firstLine="0"/>
        <w:jc w:val="both"/>
      </w:pPr>
      <w:r>
        <w:rPr>
          <w:highlight w:val="none"/>
        </w:rPr>
        <w:t xml:space="preserve">                                         ___________________________</w:t>
      </w:r>
      <w:r>
        <w:rPr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82913054"/>
      <w:rPr/>
    </w:sdtPr>
    <w:sdtContent>
      <w:p>
        <w:pPr>
          <w:pStyle w:val="918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4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</w:sdtContent>
  </w:sdt>
  <w:p>
    <w:pPr>
      <w:pStyle w:val="9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024"/>
      <w:numFmt w:val="decimal"/>
      <w:isLgl w:val="false"/>
      <w:suff w:val="tab"/>
      <w:lvlText w:val="%2"/>
      <w:lvlJc w:val="left"/>
      <w:pPr>
        <w:ind w:left="2029" w:hanging="60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23"/>
      <w:numFmt w:val="decimal"/>
      <w:isLgl w:val="false"/>
      <w:suff w:val="tab"/>
      <w:lvlText w:val="%1)"/>
      <w:lvlJc w:val="left"/>
      <w:pPr>
        <w:ind w:left="111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024"/>
      <w:numFmt w:val="decimal"/>
      <w:isLgl w:val="false"/>
      <w:suff w:val="tab"/>
      <w:lvlText w:val="%2"/>
      <w:lvlJc w:val="left"/>
      <w:pPr>
        <w:ind w:left="2029" w:hanging="60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2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7"/>
    <w:next w:val="907"/>
    <w:link w:val="73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8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7"/>
    <w:next w:val="907"/>
    <w:link w:val="73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8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7"/>
    <w:next w:val="907"/>
    <w:link w:val="73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8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7"/>
    <w:next w:val="907"/>
    <w:link w:val="73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8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7"/>
    <w:next w:val="907"/>
    <w:link w:val="74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8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7"/>
    <w:next w:val="907"/>
    <w:link w:val="74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8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7"/>
    <w:next w:val="907"/>
    <w:link w:val="74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8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7"/>
    <w:next w:val="907"/>
    <w:link w:val="74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7"/>
    <w:next w:val="907"/>
    <w:link w:val="74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8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7"/>
    <w:next w:val="907"/>
    <w:link w:val="75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2">
    <w:name w:val="Title Char"/>
    <w:basedOn w:val="908"/>
    <w:link w:val="751"/>
    <w:uiPriority w:val="10"/>
    <w:rPr>
      <w:sz w:val="48"/>
      <w:szCs w:val="48"/>
    </w:rPr>
  </w:style>
  <w:style w:type="paragraph" w:styleId="753">
    <w:name w:val="Subtitle"/>
    <w:basedOn w:val="907"/>
    <w:next w:val="907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basedOn w:val="908"/>
    <w:link w:val="753"/>
    <w:uiPriority w:val="11"/>
    <w:rPr>
      <w:sz w:val="24"/>
      <w:szCs w:val="24"/>
    </w:rPr>
  </w:style>
  <w:style w:type="paragraph" w:styleId="755">
    <w:name w:val="Quote"/>
    <w:basedOn w:val="907"/>
    <w:next w:val="907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7"/>
    <w:next w:val="907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character" w:styleId="759">
    <w:name w:val="Header Char"/>
    <w:basedOn w:val="908"/>
    <w:link w:val="918"/>
    <w:uiPriority w:val="99"/>
  </w:style>
  <w:style w:type="character" w:styleId="760">
    <w:name w:val="Footer Char"/>
    <w:basedOn w:val="908"/>
    <w:link w:val="920"/>
    <w:uiPriority w:val="99"/>
  </w:style>
  <w:style w:type="paragraph" w:styleId="761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20"/>
    <w:uiPriority w:val="99"/>
  </w:style>
  <w:style w:type="table" w:styleId="763">
    <w:name w:val="Table Grid"/>
    <w:basedOn w:val="9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99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0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1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2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3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04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05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3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5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6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7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3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4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5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6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7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8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08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08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spacing w:after="57"/>
      <w:ind w:left="0" w:right="0" w:firstLine="0"/>
    </w:pPr>
  </w:style>
  <w:style w:type="paragraph" w:styleId="897">
    <w:name w:val="toc 2"/>
    <w:basedOn w:val="907"/>
    <w:next w:val="907"/>
    <w:uiPriority w:val="39"/>
    <w:unhideWhenUsed/>
    <w:pPr>
      <w:spacing w:after="57"/>
      <w:ind w:left="283" w:right="0" w:firstLine="0"/>
    </w:pPr>
  </w:style>
  <w:style w:type="paragraph" w:styleId="898">
    <w:name w:val="toc 3"/>
    <w:basedOn w:val="907"/>
    <w:next w:val="907"/>
    <w:uiPriority w:val="39"/>
    <w:unhideWhenUsed/>
    <w:pPr>
      <w:spacing w:after="57"/>
      <w:ind w:left="567" w:right="0" w:firstLine="0"/>
    </w:pPr>
  </w:style>
  <w:style w:type="paragraph" w:styleId="899">
    <w:name w:val="toc 4"/>
    <w:basedOn w:val="907"/>
    <w:next w:val="907"/>
    <w:uiPriority w:val="39"/>
    <w:unhideWhenUsed/>
    <w:pPr>
      <w:spacing w:after="57"/>
      <w:ind w:left="850" w:right="0" w:firstLine="0"/>
    </w:pPr>
  </w:style>
  <w:style w:type="paragraph" w:styleId="900">
    <w:name w:val="toc 5"/>
    <w:basedOn w:val="907"/>
    <w:next w:val="907"/>
    <w:uiPriority w:val="39"/>
    <w:unhideWhenUsed/>
    <w:pPr>
      <w:spacing w:after="57"/>
      <w:ind w:left="1134" w:right="0" w:firstLine="0"/>
    </w:pPr>
  </w:style>
  <w:style w:type="paragraph" w:styleId="901">
    <w:name w:val="toc 6"/>
    <w:basedOn w:val="907"/>
    <w:next w:val="907"/>
    <w:uiPriority w:val="39"/>
    <w:unhideWhenUsed/>
    <w:pPr>
      <w:spacing w:after="57"/>
      <w:ind w:left="1417" w:right="0" w:firstLine="0"/>
    </w:pPr>
  </w:style>
  <w:style w:type="paragraph" w:styleId="902">
    <w:name w:val="toc 7"/>
    <w:basedOn w:val="907"/>
    <w:next w:val="907"/>
    <w:uiPriority w:val="39"/>
    <w:unhideWhenUsed/>
    <w:pPr>
      <w:spacing w:after="57"/>
      <w:ind w:left="1701" w:right="0" w:firstLine="0"/>
    </w:pPr>
  </w:style>
  <w:style w:type="paragraph" w:styleId="903">
    <w:name w:val="toc 8"/>
    <w:basedOn w:val="907"/>
    <w:next w:val="907"/>
    <w:uiPriority w:val="39"/>
    <w:unhideWhenUsed/>
    <w:pPr>
      <w:spacing w:after="57"/>
      <w:ind w:left="1984" w:right="0" w:firstLine="0"/>
    </w:pPr>
  </w:style>
  <w:style w:type="paragraph" w:styleId="904">
    <w:name w:val="toc 9"/>
    <w:basedOn w:val="907"/>
    <w:next w:val="907"/>
    <w:uiPriority w:val="39"/>
    <w:unhideWhenUsed/>
    <w:pPr>
      <w:spacing w:after="57"/>
      <w:ind w:left="2268" w:right="0" w:firstLine="0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paragraph" w:styleId="911" w:customStyle="1">
    <w:name w:val="ConsPlusNormal"/>
    <w:link w:val="912"/>
    <w:qFormat/>
    <w:pPr>
      <w:widowControl w:val="off"/>
      <w:spacing w:after="0" w:line="240" w:lineRule="auto"/>
    </w:pPr>
    <w:rPr>
      <w:rFonts w:ascii="Calibri" w:hAnsi="Calibri" w:eastAsia="Times New Roman" w:cs="Calibri"/>
      <w:lang w:eastAsia="ru-RU"/>
    </w:rPr>
  </w:style>
  <w:style w:type="character" w:styleId="912" w:customStyle="1">
    <w:name w:val="ConsPlusNormal Знак"/>
    <w:link w:val="911"/>
    <w:rPr>
      <w:rFonts w:ascii="Calibri" w:hAnsi="Calibri" w:eastAsia="Times New Roman" w:cs="Calibri"/>
      <w:lang w:eastAsia="ru-RU"/>
    </w:rPr>
  </w:style>
  <w:style w:type="character" w:styleId="913" w:customStyle="1">
    <w:name w:val="Основной текст (5)_"/>
    <w:basedOn w:val="908"/>
    <w:link w:val="914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14" w:customStyle="1">
    <w:name w:val="Основной текст (5)"/>
    <w:basedOn w:val="907"/>
    <w:link w:val="913"/>
    <w:pPr>
      <w:widowControl w:val="off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915">
    <w:name w:val="Balloon Text"/>
    <w:basedOn w:val="907"/>
    <w:link w:val="916"/>
    <w:uiPriority w:val="99"/>
    <w:semiHidden/>
    <w:unhideWhenUsed/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908"/>
    <w:link w:val="915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917">
    <w:name w:val="List Paragraph"/>
    <w:basedOn w:val="907"/>
    <w:uiPriority w:val="34"/>
    <w:qFormat/>
    <w:pPr>
      <w:ind w:left="720"/>
      <w:contextualSpacing/>
    </w:pPr>
  </w:style>
  <w:style w:type="paragraph" w:styleId="918">
    <w:name w:val="Header"/>
    <w:basedOn w:val="907"/>
    <w:link w:val="9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908"/>
    <w:link w:val="918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20">
    <w:name w:val="Footer"/>
    <w:basedOn w:val="907"/>
    <w:link w:val="9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908"/>
    <w:link w:val="920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22" w:customStyle="1">
    <w:name w:val="ConsPlusTitle"/>
    <w:pPr>
      <w:widowControl w:val="off"/>
      <w:spacing w:after="0" w:line="240" w:lineRule="auto"/>
    </w:pPr>
    <w:rPr>
      <w:rFonts w:ascii="Calibri" w:hAnsi="Calibri" w:cs="Calibri" w:eastAsiaTheme="minorEastAsia"/>
      <w:b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hyperlink" Target="https://login.consultant.ru/link/?req=doc&amp;base=RLAW251&amp;n=1668072&amp;dst=1000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7A6D-7C5A-4D55-920C-67ABC37B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Comandante4 (Мусалимова 170)</dc:creator>
  <cp:revision>13</cp:revision>
  <dcterms:created xsi:type="dcterms:W3CDTF">2025-10-06T03:47:00Z</dcterms:created>
  <dcterms:modified xsi:type="dcterms:W3CDTF">2026-04-14T05:57:22Z</dcterms:modified>
</cp:coreProperties>
</file>