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hd w:val="clear" w:color="auto" w:fill="ffffff"/>
        <w:rPr>
          <w:sz w:val="2"/>
        </w:rPr>
      </w:pPr>
      <w:r/>
      <w:bookmarkStart w:id="0" w:name="OLE_LINK4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91845" cy="883920"/>
                <wp:effectExtent l="0" t="0" r="0" b="0"/>
                <wp:docPr id="1" name="_x0000_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>
                          <a:extLs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79184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2.35pt;height:69.6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sz w:val="2"/>
        </w:r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33"/>
        </w:rPr>
        <w:t xml:space="preserve">ПРАВИТЕЛЬСТВО ЗАБАЙКАЛЬСКОГО КРАЯ</w:t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b/>
          <w:spacing w:val="-10"/>
          <w:sz w:val="2"/>
        </w:rPr>
      </w:pP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  <w:r>
        <w:rPr>
          <w:b/>
          <w:spacing w:val="-10"/>
          <w:sz w:val="2"/>
        </w:rPr>
      </w:r>
    </w:p>
    <w:p>
      <w:pPr>
        <w:jc w:val="center"/>
        <w:shd w:val="clear" w:color="auto" w:fill="ffffff"/>
        <w:rPr>
          <w:spacing w:val="-10"/>
          <w:sz w:val="28"/>
        </w:rPr>
      </w:pPr>
      <w:r>
        <w:rPr>
          <w:spacing w:val="-10"/>
          <w:sz w:val="35"/>
        </w:rPr>
        <w:t xml:space="preserve">ПОСТАНОВЛЕНИЕ</w:t>
      </w:r>
      <w:r>
        <w:rPr>
          <w:spacing w:val="-10"/>
          <w:sz w:val="28"/>
        </w:rPr>
      </w:r>
      <w:r>
        <w:rPr>
          <w:spacing w:val="-10"/>
          <w:sz w:val="28"/>
        </w:rPr>
      </w:r>
    </w:p>
    <w:p>
      <w:pPr>
        <w:jc w:val="center"/>
        <w:shd w:val="clear" w:color="auto" w:fill="ffffff"/>
      </w:pPr>
      <w:r/>
      <w:r/>
    </w:p>
    <w:p>
      <w:pPr>
        <w:jc w:val="center"/>
        <w:shd w:val="clear" w:color="auto" w:fill="ffffff"/>
        <w:rPr>
          <w:spacing w:val="-10"/>
          <w:sz w:val="6"/>
        </w:rPr>
      </w:pPr>
      <w:r>
        <w:rPr>
          <w:spacing w:val="-5"/>
          <w:sz w:val="35"/>
        </w:rPr>
        <w:t xml:space="preserve">г. Чита</w:t>
      </w:r>
      <w:bookmarkEnd w:id="0"/>
      <w:r>
        <w:rPr>
          <w:spacing w:val="-10"/>
          <w:sz w:val="6"/>
        </w:rPr>
      </w:r>
      <w:r>
        <w:rPr>
          <w:spacing w:val="-10"/>
          <w:sz w:val="6"/>
        </w:rPr>
      </w:r>
    </w:p>
    <w:p>
      <w:pPr>
        <w:contextualSpacing/>
        <w:ind w:firstLine="709"/>
        <w:jc w:val="both"/>
        <w:spacing w:before="360" w:after="120"/>
        <w:rPr>
          <w:b/>
          <w:color w:val="000000"/>
          <w:sz w:val="28"/>
        </w:rPr>
      </w:pPr>
      <w:r>
        <w:rPr>
          <w:b/>
          <w:color w:val="000000"/>
          <w:sz w:val="28"/>
        </w:rPr>
      </w:r>
      <w:r>
        <w:rPr>
          <w:b/>
          <w:color w:val="000000"/>
          <w:sz w:val="28"/>
        </w:rPr>
      </w:r>
      <w:r>
        <w:rPr>
          <w:b/>
          <w:color w:val="000000"/>
          <w:sz w:val="28"/>
        </w:rPr>
      </w:r>
    </w:p>
    <w:p>
      <w:pPr>
        <w:pStyle w:val="888"/>
        <w:contextualSpacing/>
        <w:jc w:val="left"/>
        <w:shd w:val="clear" w:color="auto" w:fill="ffffff"/>
        <w:rPr>
          <w:rFonts w:ascii="TimesNewRoman" w:hAnsi="TimesNewRoman" w:eastAsia="TimesNewRoman" w:cs="TimesNewRoman"/>
          <w:b/>
          <w:color w:val="000000"/>
          <w:sz w:val="28"/>
        </w:rPr>
      </w:pPr>
      <w:r>
        <w:rPr>
          <w:rFonts w:ascii="TimesNewRoman" w:hAnsi="TimesNewRoman" w:eastAsia="TimesNewRoman" w:cs="TimesNewRoman"/>
          <w:b/>
          <w:color w:val="000000"/>
          <w:sz w:val="28"/>
        </w:rPr>
      </w:r>
      <w:r>
        <w:rPr>
          <w:rFonts w:ascii="TimesNewRoman" w:hAnsi="TimesNewRoman" w:eastAsia="TimesNewRoman" w:cs="TimesNewRoman"/>
          <w:b/>
          <w:color w:val="000000"/>
          <w:sz w:val="28"/>
        </w:rPr>
      </w:r>
      <w:r>
        <w:rPr>
          <w:rFonts w:ascii="TimesNewRoman" w:hAnsi="TimesNewRoman" w:eastAsia="TimesNewRoman" w:cs="TimesNewRoman"/>
          <w:b/>
          <w:color w:val="000000"/>
          <w:sz w:val="28"/>
        </w:rPr>
      </w:r>
    </w:p>
    <w:p>
      <w:pPr>
        <w:pStyle w:val="879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 утверждении Методики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распределения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иных межбюджетных трансфертов из бюджета Забайкальского края бюджетам муниципальных районов, муниципальных и городских округов Забайкальского края </w:t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на благоустройство набережной р. Чита</w:t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 и правила их предоставления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sz w:val="28"/>
          <w:szCs w:val="28"/>
          <w:highlight w:val="white"/>
        </w:rPr>
      </w:r>
    </w:p>
    <w:p>
      <w:pPr>
        <w:contextualSpacing/>
        <w:jc w:val="center"/>
        <w:spacing w:line="235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jc w:val="center"/>
        <w:spacing w:line="235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ind w:firstLine="709"/>
        <w:jc w:val="both"/>
        <w:spacing w:after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139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статьей 14 Закона Забайкальского края от 20 декабря 2011 года №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608-ЗЗК «О межбюджетных отношениях в</w:t>
      </w:r>
      <w:r>
        <w:rPr>
          <w:rFonts w:ascii="Times New Roman" w:hAnsi="Times New Roman" w:cs="Times New Roman"/>
          <w:sz w:val="28"/>
          <w:szCs w:val="28"/>
        </w:rPr>
        <w:t xml:space="preserve"> Забайкаль</w:t>
      </w:r>
      <w:r>
        <w:rPr>
          <w:rFonts w:ascii="Times New Roman" w:hAnsi="Times New Roman" w:cs="Times New Roman"/>
          <w:sz w:val="28"/>
          <w:szCs w:val="28"/>
        </w:rPr>
        <w:t xml:space="preserve">ском крае», </w:t>
        <w:br/>
        <w:t xml:space="preserve">пунктом 10 Постановления Правительства Забайкальского края от 30 декабря в целях реализации инфраструктурного проекта «Благоустройство набережной р. Чита» в рамках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программы Забайкальского края «Развитие жилищно-коммунального хозяйства Забайкальского края»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Забайкальского края </w:t>
        <w:br/>
        <w:t xml:space="preserve">от 19 января 2026 года № 6,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Правительство Забайкальского края </w:t>
      </w:r>
      <w:r>
        <w:rPr>
          <w:rFonts w:ascii="Times New Roman" w:hAnsi="Times New Roman" w:cs="Times New Roman"/>
          <w:b/>
          <w:spacing w:val="40"/>
          <w:sz w:val="28"/>
          <w:szCs w:val="28"/>
        </w:rPr>
        <w:t xml:space="preserve">постановляет</w:t>
      </w:r>
      <w:r>
        <w:rPr>
          <w:rFonts w:ascii="Times New Roman" w:hAnsi="Times New Roman" w:cs="Times New Roman"/>
          <w:spacing w:val="40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567"/>
        <w:jc w:val="both"/>
        <w:spacing w:after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contextualSpacing/>
        <w:ind w:firstLine="709"/>
        <w:jc w:val="both"/>
        <w:spacing w:after="6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прилагаемые М</w:t>
      </w:r>
      <w:r>
        <w:rPr>
          <w:rFonts w:ascii="Times New Roman" w:hAnsi="Times New Roman" w:cs="Times New Roman"/>
          <w:sz w:val="28"/>
          <w:szCs w:val="28"/>
        </w:rPr>
        <w:t xml:space="preserve">етодику распределения иных межбюджетных трансфертов из бюджета Забайкальского края бюджетам муниципальных районов, муниципальных и городских округов Забайкальского края </w:t>
        <w:br/>
        <w:t xml:space="preserve">на благоустройство набережной р. Чита и правила их предоставления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председателя Правительства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Забайкальского края                                                                    Б.Б.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Батомункуев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0" w:type="auto"/>
        <w:tblInd w:w="49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426"/>
      </w:tblGrid>
      <w:tr>
        <w:tblPrEx/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426" w:type="dxa"/>
            <w:textDirection w:val="lrTb"/>
            <w:noWrap w:val="false"/>
          </w:tcPr>
          <w:p>
            <w:pPr>
              <w:pStyle w:val="879"/>
              <w:ind w:left="-113" w:firstLine="28"/>
              <w:jc w:val="center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 w:clear="all"/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УТВЕРЖДЕНЫ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</w:p>
          <w:p>
            <w:pPr>
              <w:pStyle w:val="879"/>
              <w:ind w:left="-113" w:firstLine="2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постановлением Правительства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</w:p>
          <w:p>
            <w:pPr>
              <w:pStyle w:val="879"/>
              <w:ind w:left="-115" w:firstLine="2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Забайкальского края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</w:p>
          <w:p>
            <w:pPr>
              <w:pStyle w:val="879"/>
              <w:ind w:left="-115" w:firstLine="2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</w:p>
          <w:p>
            <w:pPr>
              <w:pStyle w:val="879"/>
              <w:ind w:left="-115" w:firstLine="27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 ______________ № ____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  <w:lang w:eastAsia="en-US"/>
              </w:rPr>
            </w:r>
          </w:p>
          <w:p>
            <w:pPr>
              <w:pStyle w:val="879"/>
              <w:ind w:left="-115" w:firstLine="27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r>
          </w:p>
        </w:tc>
      </w:tr>
    </w:tbl>
    <w:p>
      <w:pPr>
        <w:pStyle w:val="879"/>
        <w:ind w:firstLine="0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79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МЕТОДИКА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r>
    </w:p>
    <w:p>
      <w:pPr>
        <w:pStyle w:val="879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распределения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иных межбюджетных трансфертов из бюджета Забайкальского края бюджетам муниципальных районов, муниципальных и городских округов Забайкальского края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white"/>
        </w:rPr>
      </w:r>
    </w:p>
    <w:p>
      <w:pPr>
        <w:pStyle w:val="879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на благоустройство набережной р. Чита</w:t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 xml:space="preserve"> и правила их предоставления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</w:r>
    </w:p>
    <w:p>
      <w:pPr>
        <w:pStyle w:val="880"/>
        <w:ind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white"/>
        </w:rPr>
        <w:outlineLvl w:val="1"/>
      </w:pPr>
      <w:r>
        <w:rPr>
          <w:rFonts w:ascii="Times New Roman" w:hAnsi="Times New Roman" w:cs="Times New Roman"/>
          <w:b w:val="0"/>
          <w:sz w:val="28"/>
          <w:szCs w:val="28"/>
          <w:highlight w:val="white"/>
        </w:rPr>
      </w:r>
      <w:r>
        <w:rPr>
          <w:rFonts w:ascii="Times New Roman" w:hAnsi="Times New Roman" w:cs="Times New Roman"/>
          <w:b w:val="0"/>
          <w:sz w:val="28"/>
          <w:szCs w:val="28"/>
          <w:highlight w:val="white"/>
        </w:rPr>
      </w:r>
      <w:r>
        <w:rPr>
          <w:rFonts w:ascii="Times New Roman" w:hAnsi="Times New Roman" w:cs="Times New Roman"/>
          <w:b w:val="0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Настоящие Методика</w:t>
      </w: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распределения </w:t>
      </w: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иных межбюджетных трансфертов из бюджета Забайкальского края бюджетам муниципальных районов, муниципальных и городских округов Забайкальского края </w:t>
        <w:br/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highlight w:val="white"/>
        </w:rPr>
        <w:t xml:space="preserve">на благоустройство набережной р. Чита</w:t>
      </w: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и правила их предоставления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(далее − Методика и правила) устанавливают цели, условия и правила распределения, предоставления иных межбюджетных трансфертов из бюджета Забайкальского края бюджетам муниципальных районов, муниципал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ь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ых </w:t>
        <w:br/>
        <w:t xml:space="preserve">и городских округов Забайкальского края (далее −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иные межбюджетные трансферты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муниципальные образования)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а 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кже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критерии отбора муниципальных образований для предоставления иных межбюджетных трансфертов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bookmarkStart w:id="1" w:name="Par9"/>
      <w:r>
        <w:rPr>
          <w:highlight w:val="white"/>
        </w:rPr>
      </w:r>
      <w:bookmarkEnd w:id="1"/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Министерство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жилищно-коммунального хозяйства, энергетики, ц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ифровизации и связи Забайкальского края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–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осуществляет функции главного распорядителя бюджетных средств, </w:t>
        <w:br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 которого в соответствии с бюджетным законодательством Российской Федерации как до получателя бюджетных средств дове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дены в установленном порядке лимиты бюджетных обязательств на цели, указа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нные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пункте 3 настоящих Методики и правил.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3. Иные межбюджетных трансферты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распределяются и предоставляются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целях финансового обеспечения расходных обязательств муниципальных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образований, возникающих при реализации мероприятий по б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лагоустройству набережной р. Чита.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азмер иного межбюджетн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 трансферта определяется исходя </w:t>
        <w:br/>
        <w:t xml:space="preserve">из объема бюджетных ассигнований, предусмотренных в бюджете Забайкальского края на мероприятие «Благоустройство набережной р. Чита» регионального проекта «Реализация инфраструктурных проектов, источником финансового обесп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чения расходов на реализацию которых являются бюджетные кредиты на финансовое обеспечение реализации инфраструктурных проектов за счет временно свободных средств единого счета федерального бюджета», входящего в состав государственной программы Забайкальско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го края «Развитие жилищно-коммунального хозяйства и энергетики Забайкальского края», утвержденной постановлением Правительства Забайкальского края от 19 января 2026 года № 6.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Результатом предоставления иного межбюджетного трансферта является площадь благоустроенной территории набережной р. Чита (Гектар).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4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Предоставление иных межбюджетных трансфертов осуществляется на основании соглашений о предоставлении иных межбюджетных трансфертов (далее – Соглашение), заключенных между Министерством </w:t>
        <w:br/>
        <w:t xml:space="preserve">и муниципальным образованием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в соответствии с типовой формой, утвержденной Министерством финансов Российской Федерации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5. 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Соглашение, дополнительное соглашение к соглашению, в том числе дополнительное соглашение о расторжении соглашения (при необходимости), заключаются в государственной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 интегрированной информационной системе управления общественными финансами «Электронный бюджет».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В соглашении предусматриваются: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1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) цели предоставлени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я иных межбюджетных трансфертов, их размер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2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) значения результатов предоставления иных межбюджетных трансфертов, которые должны быть конкретными, измеримыми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3) план мероприятий по достижению результатов предоставления иных межбюджетных трансфертов;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4) 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сроки и формы представления муниципальными 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образованиями отчетно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сти о достижении значений результата предоставления иных межбюджетных трансфертов, об осуществлении расходов, источником финансового обеспечения которых являются иные межбюджетные трансферты, а также сроки и формы представления муниципальными образованиями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 дополнительной отчетности (при необходимости)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;</w:t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5) ответственность за нарушение условий соглашения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6) порядок и сроки возврата сумм иных межбюджетных трансфертов </w:t>
        <w:br/>
        <w:t xml:space="preserve">в случае несоблюдения муниципальным образованием целей, условий </w:t>
        <w:br/>
        <w:t xml:space="preserve">и порядка предоставления иных межбюджетных трансфертов, определенных соглашением;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7) основания и порядок внесения изменений в соглашение;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8) основания для досрочного прекращения соглашения по решению главного распорядителя бюджетных средств в одностороннем порядке;</w:t>
      </w:r>
      <w:r/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9) запрет на расторжение соглашения муниципальным образованием </w:t>
        <w:br/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в одностороннем порядке;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10)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возможность осуществления расходов, источником финансового обеспечения которых являются не использованные в отчетном финансовом году остатки иных межбюджетных трансфертов.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6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Условием предоставления иных межбюджетных трансфертов </w:t>
        <w:br/>
        <w:t xml:space="preserve">на реализацию мероприятий, указанных в пункт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3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настоящих Методики </w:t>
        <w:br/>
        <w:t xml:space="preserve">и правил,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я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л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яю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т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я: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left="0" w:right="0" w:firstLine="720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1)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решение президиума (штаба) Правительственной комиссии </w:t>
        <w:br/>
        <w:t xml:space="preserve">по региональному развитию в Российской Федерации о одобрении инфраструктурных проектов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ф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ж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ind w:left="0" w:right="0" w:firstLine="720"/>
        <w:jc w:val="both"/>
        <w:spacing w:before="0" w:beforeAutospacing="0" w:after="0" w:line="240" w:lineRule="auto"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2) соответствие муниципального образования критериям, указанным </w:t>
        <w:br/>
        <w:t xml:space="preserve">в пункте 8 настоящих Методик и правил;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0" w:firstLine="720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3) наличие заключенного Соглашения.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0" w:right="0" w:firstLine="720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. Критерием отбора муниципальных образований для предоставления иных межбюджетных трансфертов на реализацию мероприятий, указанных </w:t>
        <w:br/>
        <w:t xml:space="preserve">в пункте 3 настоящих Методик и правил, является реализация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соответствующих мероприятий на территории муниципального образования.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8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Для получения иных межбюджетных трансфертов администрация муниципального образования направляет заявку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на предоставление иных межбюджетных трансфертов (далее - заявка)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в Министерство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посредством государственной информационной системы Забайкальского края «Электронный документооборот в исполнительных органах Забайкальского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края» и следующие документы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обязательства о достижении результатов предоставления иных межбюджетных трансфертов в произвольной форме;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пояснительную записку, содержащую обоснование необходимости предоставления иных межбюджетных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трансфертов на цели, установ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ленные </w:t>
        <w:br/>
        <w:t xml:space="preserve">в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пункт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3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настоящих Методики и правил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yellow"/>
          <w:vertAlign w:val="baseli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документы, подтверждающие потребность в предоставлении иных межбюджетных трансфертов на цели, устан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овленн</w:t>
      </w:r>
      <w:r>
        <w:rPr>
          <w:rFonts w:ascii="Times New Roman" w:hAnsi="Times New Roman" w:cs="Times New Roman"/>
          <w:sz w:val="28"/>
          <w:szCs w:val="28"/>
          <w:highlight w:val="white"/>
          <w:vertAlign w:val="baseline"/>
        </w:rPr>
        <w:t xml:space="preserve">ые в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пункт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е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3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настоящих Методики и правил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yellow"/>
          <w:vertAlign w:val="baseline"/>
        </w:rPr>
      </w:r>
      <w:r>
        <w:rPr>
          <w:rFonts w:ascii="Times New Roman" w:hAnsi="Times New Roman" w:cs="Times New Roman"/>
          <w:sz w:val="28"/>
          <w:szCs w:val="28"/>
          <w:highlight w:val="yellow"/>
          <w:vertAlign w:val="baselin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9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З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аявка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подписывается должностным лицом, возглавляющим администрацию муниципального образования, или лицом, его замещающим, по форме и в срок, установленный Соглашением;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10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highlight w:val="white"/>
        </w:rPr>
        <w:t xml:space="preserve">Министерство не позднее 5 рабочих дней со дня представления заявки рассматривает заявку на соответствие требованиям, установленным настоящими Методикой и правилами,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принимает одно из следующих решений: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1) о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соответствии заявки требованиям, установленным настоящими Методикой и правилами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;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2) об отклонении заявки;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3) о возврате заявки на доработку.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11. На стадии рассмотрения заявки основаниями: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1) для отклонения заявки являются: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а) несоответствие муниципального образования требованиям, установленным настоящими Методикой и правилами;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б) недостоверность информации, содержащейся в документах, представленных в составе заявки;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2) для возврата заявки на доработку являются: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а) несоответствие представленных документов и (или) заявки требованиям, установленным настоящими Методикой и правилами;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б) непредставление (представление не в полном объеме) документов, указанных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пункте 8 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астоящих Мето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дик и правил, и (или) незаполнение форм документов либо заполнение форм документов частично; плохое качество изображения символов, букв и цифр, не позволяющее их прочитать.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12. В случае направления заявки на доработку администрация муниципального образования представляет в Министерство доработанную заявку в срок не позднее 5 рабочих дней со дня ее получения.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Повторное рассмотрение заявки осуществляется в соответствии </w:t>
        <w:br/>
        <w:t xml:space="preserve">с настоящими Методикой и правилами.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13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М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инистерство не позднее 10 рабочих дней со дня принятия решения о предоставлении иного межбюджетного трансферта формирует </w:t>
      </w:r>
      <w:r>
        <w:rPr>
          <w:rFonts w:ascii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соответствии с утвержденным кассовым планом сводную заявку </w:t>
        <w:br/>
        <w:t xml:space="preserve">на финансирование и направляет в Министерство финансов Забайкальского края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(далее - Министерство финансов).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14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Министерство финансов на основании сводной заявки </w:t>
        <w:br/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 финансирование, представленной Министерством, в установленном порядке осуществляет перечисление средств на лицевой счет Министерства </w:t>
        <w:br/>
        <w:t xml:space="preserve">в соответствии с утвержденными бюджетными ассигнованиями, кассовым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планом.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15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Министерство в течение 10 рабочих дней со дня получения средств перечисляет средства иных межбюджетных трансфертов в бюджет муниципального образования на единый счет бюджета муниципального образования, открытый финансовому органу муниципального образова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ния </w:t>
        <w:br/>
        <w:t xml:space="preserve">в Управлении Федерального казначейства по Забайкальскому краю.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16. Муниципальное образование не позднее 5 рабочих дней, следующих за отчетным кварталом, и не позднее 7 рабочих дней, следующих за отчетным годом, и по формам, установленным в соглашении, представляют </w:t>
        <w:br/>
        <w:t xml:space="preserve">в Министерство: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1) отчет о расходах, источником финансового обеспечения которых является иной межбюджетный трансферт;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2) отчет о достижении значений результатов предоставления иных межбюджетных трансфертов, предусмотренных пунктом 3 настоящих Методик и правил;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иные формы отчетности, формы и сроки которых предусмотрены </w:t>
        <w:br/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соглашении.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17. Иные межбюджетные трансферты носят целевой характер и не могут быть использованы на другие цели.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ind w:firstLine="709"/>
        <w:jc w:val="both"/>
        <w:spacing w:before="0" w:beforeAutospacing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Органы местного самоуправления муниципальных образований несут ответственность за целевое использование средств, выделенных из бюджета Забайкальского края, в соответствии с действующим законодательством.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18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 Не использованные на 1 января текущ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его финансового года остатки иных межбюджетных трансфертов, в отношении которых Министерством принято решение о наличии потребности в указанных остатках, могут быть использованы муниципальным образованием на те же цели в текущем финансовом году в порядке,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установленном бюджетным законодательством Российской Федерации, законодательством Забайкальского края.</w:t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19. Для принятия решения о наличии потребности в указанных остатках муниципальное образование представляет в Министерство документы, подтверждающие потребность.</w:t>
      </w:r>
      <w:r/>
    </w:p>
    <w:p>
      <w:pPr>
        <w:ind w:firstLine="709"/>
        <w:jc w:val="both"/>
        <w:spacing w:before="0" w:beforeAutospacing="0" w:line="240" w:lineRule="auto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20. Остатки иных межбюджетных трансфе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р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тов прошлых лет, </w:t>
        <w:br/>
        <w:t xml:space="preserve">не использованные на начало текущего финансового года, в отношении которых Министерством не принято решение об использовании муниципальным образованием в текущем финансовом году, а также потребность в использовании которых не подтверждена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подлежат перечислению в бюджет Забайкальского края в течение первых 15 рабочих дней года, следующего за годом предоставления иного межбюджетного трансферта.</w:t>
      </w:r>
      <w:r>
        <w:rPr>
          <w:highlight w:val="yellow"/>
        </w:rPr>
      </w:r>
      <w:r/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21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В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случае если муниципальным образованием по состоянию </w:t>
        <w:br/>
        <w:t xml:space="preserve">на 31 декабря года предоставления иного межбюджетного трансферта допущены нарушения обязательств, предусмотренных соглашением в части достижения результатов предоставления иного межбюджетного трансферта,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срок до первой даты представления отчетности о достижении значений результатов предоставления иного межбюджетного трансферта </w:t>
        <w:br/>
        <w:t xml:space="preserve">в соответствии с соглашением в году, следующем за годом предоставления иного межбюджетного трансферта, указанные нарушения не 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странены, объем средств, подлежащий возврату из бюджета муниципального образования в бюджет Забайкальского края в срок до 1 мая года, следующего за годом предоставления иного межбюджетного трансферта (V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возврата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рассчитывается по формуле: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V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возврата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= (V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имбт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x k x m / n) x 0,1,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где: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V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имбт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- размер иного межбюджетного трансферта, предоставляемого бюджету муниципального образования в отчетном финансовом году;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m - количество результатов предоставления иного межбюджетного трансферта, по которым индекс, отражающий уровень недостижения </w:t>
        <w:br/>
        <w:t xml:space="preserve">i-го результата предоставления иного межбюджетного трансферта, имеет положительное значение;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n - общее количество результатов предоставления иного межбюджетного трансферта;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k - коэффициент возврата иного межбюджетного трансферта.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 расчете объема средств, подлежащих возврату из бюджета муниципального образования в бюджет Забайкальского края, в размере иного межбюджетного трансферта, предоставляемого бюджету муниципального образования в отчетном финансовом году (V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имбт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), не учитывае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тся размер остатка иного межбюджетного трансферта, не использованного по состоянию на 1 января текущего финансового года.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Коэффициент возврата иного межбюджетного трансферта рассчитывается по формуле: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k = SUMD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/ m,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где: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D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- индекс, отражающий уровень недостижения i-го результата предоставления иного межбюджетного трансферта.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При расчете коэффициента возврата иного межбюджетного трансферта используются только положительные значения индекса, отражающего уровень недостижения i-го результата предоставления иного межбюджетного трансферта.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Индекс, отражающий уровень недостижения i-го результата предоставления иного межбюджетного трансферта, определяется по формуле: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0"/>
        <w:jc w:val="center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D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= 1 - T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/ S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где: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0"/>
        <w:jc w:val="center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T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- фактически достигнутое значение i-го результата предоставления иного межбюджетного трансферта на отчетную дату;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S</w:t>
      </w:r>
      <w:r>
        <w:rPr>
          <w:rFonts w:ascii="Times New Roman" w:hAnsi="Times New Roman" w:cs="Times New Roman"/>
          <w:sz w:val="28"/>
          <w:szCs w:val="28"/>
          <w:highlight w:val="white"/>
          <w:vertAlign w:val="subscript"/>
        </w:rPr>
        <w:t xml:space="preserve">i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- плановое значение i-го результата предоставления иного межбюджетного трансферта, установленное соглашением.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22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 Основанием для освобождения муниципального образования </w:t>
        <w:br/>
        <w:t xml:space="preserve">от применения мер ответственности, предусмотренных пунктом 15 настоящих Методики и правил, является документально подтвержденное наступление следующих обстоятельств непреодолимой силы, препятствующи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х исполнению соответствующих обязательств:</w:t>
      </w:r>
      <w:r/>
    </w:p>
    <w:p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1) установление регионального (межмуниципального) и (или) местного уровня реагирования на чрезвычайную ситуацию, подтвержденное правовым актом органа государственной власти Забайкальского края и (или) органа местного самоуправления;</w:t>
      </w:r>
      <w:r/>
    </w:p>
    <w:p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2) установление карантина и (или) иных ограничений, направленных </w:t>
        <w:br/>
        <w:t xml:space="preserve">на предотвращение распространения и ликвидацию очагов заразных и иных болезней животных, подтвержденное правовым актом органа государственной власти Забайкальского края;</w:t>
      </w:r>
      <w:r/>
    </w:p>
    <w:p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3) аномальные погодные условия, подтвержденные справкой территориального органа федерального органа исполнительной власти, осуществляющего функции по оказанию государственных услуг </w:t>
        <w:br/>
        <w:t xml:space="preserve">в области гидрометеорологии и смежных с ней областях;</w:t>
      </w:r>
      <w:r/>
    </w:p>
    <w:p>
      <w:pPr>
        <w:ind w:firstLine="709"/>
        <w:jc w:val="both"/>
        <w:shd w:val="clear" w:color="ffffff" w:themeColor="background1" w:fill="ffffff" w:themeFill="background1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 наличие вступившего в законную силу в году предоставления иного межбюджетного трансферта решения арбитражного суда о признании несостоятельной (банкротом) организации, деятельность которой оказывала вли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яние на исполнение обязательств, предусмотренных сог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лашением.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</w:r>
    </w:p>
    <w:p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567" w:right="567" w:bottom="568" w:left="1985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imesNewRomanPSMT">
    <w:panose1 w:val="02000603000000000000"/>
  </w:font>
  <w:font w:name="CourierNew">
    <w:panose1 w:val="02000603000000000000"/>
  </w:font>
  <w:font w:name="SegoeUI">
    <w:panose1 w:val="02000603000000000000"/>
  </w:font>
  <w:font w:name="Tahoma">
    <w:panose1 w:val="020B0606040504020204"/>
  </w:font>
  <w:font w:name="Verdana">
    <w:panose1 w:val="020B0606030504020204"/>
  </w:font>
  <w:font w:name="Arial">
    <w:panose1 w:val="020B0604020202020204"/>
  </w:font>
  <w:font w:name="TimesNewRoman">
    <w:panose1 w:val="02000603000000000000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2"/>
      <w:widowControl w:val="off"/>
      <w:framePr w:wrap="auto" w:vAnchor="text" w:hAnchor="margin" w:xAlign="center"/>
    </w:pPr>
    <w:r>
      <w:fldChar w:fldCharType="begin"/>
    </w:r>
    <w:r>
      <w:instrText xml:space="preserve">PAGE  </w:instrText>
    </w:r>
    <w:r>
      <w:fldChar w:fldCharType="separate"/>
    </w:r>
    <w:r>
      <w:t xml:space="preserve">2</w:t>
    </w:r>
    <w:r>
      <w:fldChar w:fldCharType="end"/>
    </w:r>
    <w:r/>
  </w:p>
  <w:p>
    <w:pPr>
      <w:pStyle w:val="88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firstLine="709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firstLine="709"/>
      </w:pPr>
    </w:lvl>
    <w:lvl w:ilvl="1">
      <w:start w:val="1"/>
      <w:numFmt w:val="bullet"/>
      <w:isLgl w:val="false"/>
      <w:suff w:val="tab"/>
      <w:lvlText w:val="o"/>
      <w:lvlJc w:val="left"/>
      <w:pPr>
        <w:ind w:hanging="360"/>
      </w:pPr>
    </w:lvl>
    <w:lvl w:ilvl="2">
      <w:start w:val="1"/>
      <w:numFmt w:val="bullet"/>
      <w:isLgl w:val="false"/>
      <w:suff w:val="tab"/>
      <w:lvlText w:val=""/>
      <w:lvlJc w:val="left"/>
      <w:pPr>
        <w:ind w:hanging="360"/>
      </w:pPr>
    </w:lvl>
    <w:lvl w:ilvl="3">
      <w:start w:val="1"/>
      <w:numFmt w:val="bullet"/>
      <w:isLgl w:val="false"/>
      <w:suff w:val="tab"/>
      <w:lvlText w:val=""/>
      <w:lvlJc w:val="left"/>
      <w:pPr>
        <w:ind w:hanging="360"/>
      </w:pPr>
    </w:lvl>
    <w:lvl w:ilvl="4">
      <w:start w:val="1"/>
      <w:numFmt w:val="bullet"/>
      <w:isLgl w:val="false"/>
      <w:suff w:val="tab"/>
      <w:lvlText w:val="o"/>
      <w:lvlJc w:val="left"/>
      <w:pPr>
        <w:ind w:hanging="360"/>
      </w:pPr>
    </w:lvl>
    <w:lvl w:ilvl="5">
      <w:start w:val="1"/>
      <w:numFmt w:val="bullet"/>
      <w:isLgl w:val="false"/>
      <w:suff w:val="tab"/>
      <w:lvlText w:val=""/>
      <w:lvlJc w:val="left"/>
      <w:pPr>
        <w:ind w:hanging="360"/>
      </w:pPr>
    </w:lvl>
    <w:lvl w:ilvl="6">
      <w:start w:val="1"/>
      <w:numFmt w:val="bullet"/>
      <w:isLgl w:val="false"/>
      <w:suff w:val="tab"/>
      <w:lvlText w:val=""/>
      <w:lvlJc w:val="left"/>
      <w:pPr>
        <w:ind w:hanging="360"/>
      </w:pPr>
    </w:lvl>
    <w:lvl w:ilvl="7">
      <w:start w:val="1"/>
      <w:numFmt w:val="bullet"/>
      <w:isLgl w:val="false"/>
      <w:suff w:val="tab"/>
      <w:lvlText w:val="o"/>
      <w:lvlJc w:val="left"/>
      <w:pPr>
        <w:ind w:hanging="360"/>
      </w:pPr>
    </w:lvl>
    <w:lvl w:ilvl="8">
      <w:start w:val="1"/>
      <w:numFmt w:val="bullet"/>
      <w:isLgl w:val="false"/>
      <w:suff w:val="tab"/>
      <w:lvlText w:val=""/>
      <w:lvlJc w:val="left"/>
      <w:pPr>
        <w:ind w:hanging="36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firstLine="34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9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1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sect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95">
    <w:name w:val="Caption Char"/>
    <w:basedOn w:val="706"/>
    <w:link w:val="731"/>
    <w:uiPriority w:val="35"/>
    <w:rPr>
      <w:b/>
      <w:bCs/>
      <w:color w:val="4f81bd" w:themeColor="accent1"/>
      <w:sz w:val="18"/>
      <w:szCs w:val="18"/>
    </w:rPr>
  </w:style>
  <w:style w:type="paragraph" w:styleId="696" w:default="1">
    <w:name w:val="Normal"/>
    <w:qFormat/>
    <w:pPr>
      <w:spacing w:after="0" w:line="240" w:lineRule="auto"/>
    </w:pPr>
    <w:rPr>
      <w:rFonts w:ascii="TimesNewRoman" w:hAnsi="TimesNewRoman" w:eastAsia="TimesNewRoman" w:cs="TimesNewRoman"/>
      <w:sz w:val="24"/>
    </w:rPr>
  </w:style>
  <w:style w:type="paragraph" w:styleId="697">
    <w:name w:val="Heading 1"/>
    <w:basedOn w:val="696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</w:rPr>
  </w:style>
  <w:style w:type="paragraph" w:styleId="698">
    <w:name w:val="Heading 2"/>
    <w:basedOn w:val="696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99">
    <w:name w:val="Heading 3"/>
    <w:basedOn w:val="696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</w:rPr>
  </w:style>
  <w:style w:type="paragraph" w:styleId="700">
    <w:name w:val="Heading 4"/>
    <w:basedOn w:val="696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sz w:val="26"/>
    </w:rPr>
  </w:style>
  <w:style w:type="paragraph" w:styleId="701">
    <w:name w:val="Heading 5"/>
    <w:basedOn w:val="696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</w:rPr>
  </w:style>
  <w:style w:type="paragraph" w:styleId="702">
    <w:name w:val="Heading 6"/>
    <w:basedOn w:val="696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sz w:val="22"/>
    </w:rPr>
  </w:style>
  <w:style w:type="paragraph" w:styleId="703">
    <w:name w:val="Heading 7"/>
    <w:basedOn w:val="696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i/>
      <w:sz w:val="22"/>
    </w:rPr>
  </w:style>
  <w:style w:type="paragraph" w:styleId="704">
    <w:name w:val="Heading 8"/>
    <w:basedOn w:val="696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sz w:val="22"/>
    </w:rPr>
  </w:style>
  <w:style w:type="paragraph" w:styleId="705">
    <w:name w:val="Heading 9"/>
    <w:basedOn w:val="696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sz w:val="21"/>
    </w:rPr>
  </w:style>
  <w:style w:type="character" w:styleId="706" w:default="1">
    <w:name w:val="Default Paragraph Font"/>
    <w:uiPriority w:val="1"/>
    <w:unhideWhenUsed/>
  </w:style>
  <w:style w:type="table" w:styleId="70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8" w:default="1">
    <w:name w:val="No List"/>
    <w:uiPriority w:val="99"/>
    <w:semiHidden/>
    <w:unhideWhenUsed/>
  </w:style>
  <w:style w:type="character" w:styleId="709" w:customStyle="1">
    <w:name w:val="Heading 1 Char"/>
    <w:basedOn w:val="706"/>
    <w:rPr>
      <w:rFonts w:ascii="Arial" w:hAnsi="Arial" w:eastAsia="Arial" w:cs="Arial"/>
      <w:sz w:val="40"/>
    </w:rPr>
  </w:style>
  <w:style w:type="character" w:styleId="710" w:customStyle="1">
    <w:name w:val="Heading 2 Char"/>
    <w:basedOn w:val="706"/>
    <w:rPr>
      <w:rFonts w:ascii="Arial" w:hAnsi="Arial" w:eastAsia="Arial" w:cs="Arial"/>
      <w:sz w:val="34"/>
    </w:rPr>
  </w:style>
  <w:style w:type="character" w:styleId="711" w:customStyle="1">
    <w:name w:val="Heading 3 Char"/>
    <w:basedOn w:val="706"/>
    <w:rPr>
      <w:rFonts w:ascii="Arial" w:hAnsi="Arial" w:eastAsia="Arial" w:cs="Arial"/>
      <w:sz w:val="30"/>
    </w:rPr>
  </w:style>
  <w:style w:type="character" w:styleId="712" w:customStyle="1">
    <w:name w:val="Heading 4 Char"/>
    <w:basedOn w:val="706"/>
    <w:rPr>
      <w:rFonts w:ascii="Arial" w:hAnsi="Arial" w:eastAsia="Arial" w:cs="Arial"/>
      <w:b/>
      <w:sz w:val="26"/>
    </w:rPr>
  </w:style>
  <w:style w:type="character" w:styleId="713" w:customStyle="1">
    <w:name w:val="Heading 5 Char"/>
    <w:basedOn w:val="706"/>
    <w:rPr>
      <w:rFonts w:ascii="Arial" w:hAnsi="Arial" w:eastAsia="Arial" w:cs="Arial"/>
      <w:b/>
      <w:sz w:val="24"/>
    </w:rPr>
  </w:style>
  <w:style w:type="character" w:styleId="714" w:customStyle="1">
    <w:name w:val="Heading 6 Char"/>
    <w:basedOn w:val="706"/>
    <w:rPr>
      <w:rFonts w:ascii="Arial" w:hAnsi="Arial" w:eastAsia="Arial" w:cs="Arial"/>
      <w:b/>
      <w:sz w:val="22"/>
    </w:rPr>
  </w:style>
  <w:style w:type="character" w:styleId="715" w:customStyle="1">
    <w:name w:val="Heading 7 Char"/>
    <w:basedOn w:val="706"/>
    <w:rPr>
      <w:rFonts w:ascii="Arial" w:hAnsi="Arial" w:eastAsia="Arial" w:cs="Arial"/>
      <w:b/>
      <w:i/>
      <w:sz w:val="22"/>
    </w:rPr>
  </w:style>
  <w:style w:type="character" w:styleId="716" w:customStyle="1">
    <w:name w:val="Heading 8 Char"/>
    <w:basedOn w:val="706"/>
    <w:rPr>
      <w:rFonts w:ascii="Arial" w:hAnsi="Arial" w:eastAsia="Arial" w:cs="Arial"/>
      <w:i/>
      <w:sz w:val="22"/>
    </w:rPr>
  </w:style>
  <w:style w:type="character" w:styleId="717" w:customStyle="1">
    <w:name w:val="Heading 9 Char"/>
    <w:basedOn w:val="706"/>
    <w:rPr>
      <w:rFonts w:ascii="Arial" w:hAnsi="Arial" w:eastAsia="Arial" w:cs="Arial"/>
      <w:i/>
      <w:sz w:val="21"/>
    </w:rPr>
  </w:style>
  <w:style w:type="paragraph" w:styleId="718">
    <w:name w:val="List Paragraph"/>
    <w:basedOn w:val="696"/>
    <w:qFormat/>
    <w:pPr>
      <w:contextualSpacing/>
      <w:ind w:left="720"/>
    </w:pPr>
    <w:rPr>
      <w:rFonts w:ascii="Arial" w:hAnsi="Arial" w:eastAsia="Arial" w:cs="Arial"/>
    </w:rPr>
  </w:style>
  <w:style w:type="paragraph" w:styleId="719">
    <w:name w:val="No Spacing"/>
    <w:uiPriority w:val="99"/>
    <w:qFormat/>
    <w:pPr>
      <w:spacing w:after="0" w:line="240" w:lineRule="auto"/>
    </w:pPr>
    <w:rPr>
      <w:rFonts w:ascii="Arial" w:hAnsi="Arial" w:eastAsia="Arial" w:cs="Arial"/>
      <w:sz w:val="24"/>
    </w:rPr>
  </w:style>
  <w:style w:type="paragraph" w:styleId="720">
    <w:name w:val="Title"/>
    <w:basedOn w:val="696"/>
    <w:qFormat/>
    <w:pPr>
      <w:contextualSpacing/>
      <w:spacing w:before="300" w:after="200"/>
    </w:pPr>
    <w:rPr>
      <w:rFonts w:ascii="Arial" w:hAnsi="Arial" w:eastAsia="Arial" w:cs="Arial"/>
      <w:sz w:val="48"/>
    </w:rPr>
  </w:style>
  <w:style w:type="character" w:styleId="721" w:customStyle="1">
    <w:name w:val="Title Char"/>
    <w:basedOn w:val="706"/>
    <w:rPr>
      <w:rFonts w:ascii="Arial" w:hAnsi="Arial" w:eastAsia="Arial" w:cs="Arial"/>
      <w:sz w:val="48"/>
    </w:rPr>
  </w:style>
  <w:style w:type="paragraph" w:styleId="722">
    <w:name w:val="Subtitle"/>
    <w:basedOn w:val="696"/>
    <w:qFormat/>
    <w:pPr>
      <w:spacing w:before="200" w:after="200"/>
    </w:pPr>
    <w:rPr>
      <w:rFonts w:ascii="Arial" w:hAnsi="Arial" w:eastAsia="Arial" w:cs="Arial"/>
    </w:rPr>
  </w:style>
  <w:style w:type="character" w:styleId="723" w:customStyle="1">
    <w:name w:val="Subtitle Char"/>
    <w:basedOn w:val="706"/>
    <w:rPr>
      <w:rFonts w:ascii="Arial" w:hAnsi="Arial" w:eastAsia="Arial" w:cs="Arial"/>
      <w:sz w:val="24"/>
    </w:rPr>
  </w:style>
  <w:style w:type="paragraph" w:styleId="724">
    <w:name w:val="Quote"/>
    <w:basedOn w:val="696"/>
    <w:qFormat/>
    <w:pPr>
      <w:ind w:left="720"/>
    </w:pPr>
    <w:rPr>
      <w:rFonts w:ascii="Arial" w:hAnsi="Arial" w:eastAsia="Arial" w:cs="Arial"/>
      <w:i/>
    </w:rPr>
  </w:style>
  <w:style w:type="character" w:styleId="725" w:customStyle="1">
    <w:name w:val="Quote Char"/>
    <w:rPr>
      <w:rFonts w:ascii="Arial" w:hAnsi="Arial" w:eastAsia="Arial" w:cs="Arial"/>
      <w:i/>
      <w:sz w:val="24"/>
    </w:rPr>
  </w:style>
  <w:style w:type="paragraph" w:styleId="726">
    <w:name w:val="Intense Quote"/>
    <w:basedOn w:val="696"/>
    <w:qFormat/>
    <w:pPr>
      <w:ind w:lef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rFonts w:ascii="Arial" w:hAnsi="Arial" w:eastAsia="Arial" w:cs="Arial"/>
      <w:i/>
    </w:rPr>
  </w:style>
  <w:style w:type="character" w:styleId="727" w:customStyle="1">
    <w:name w:val="Intense Quote Char"/>
    <w:rPr>
      <w:rFonts w:ascii="Arial" w:hAnsi="Arial" w:eastAsia="Arial" w:cs="Arial"/>
      <w:i/>
      <w:sz w:val="24"/>
    </w:rPr>
  </w:style>
  <w:style w:type="character" w:styleId="728" w:customStyle="1">
    <w:name w:val="Header Char"/>
    <w:basedOn w:val="706"/>
    <w:rPr>
      <w:rFonts w:ascii="Arial" w:hAnsi="Arial" w:eastAsia="Arial" w:cs="Arial"/>
      <w:sz w:val="24"/>
    </w:rPr>
  </w:style>
  <w:style w:type="paragraph" w:styleId="729">
    <w:name w:val="Footer"/>
    <w:basedOn w:val="696"/>
    <w:unhideWhenUsed/>
    <w:pPr>
      <w:tabs>
        <w:tab w:val="center" w:pos="7143" w:leader="none"/>
        <w:tab w:val="right" w:pos="14287" w:leader="none"/>
      </w:tabs>
    </w:pPr>
    <w:rPr>
      <w:rFonts w:ascii="Arial" w:hAnsi="Arial" w:eastAsia="Arial" w:cs="Arial"/>
    </w:rPr>
  </w:style>
  <w:style w:type="character" w:styleId="730" w:customStyle="1">
    <w:name w:val="Footer Char"/>
    <w:basedOn w:val="706"/>
    <w:rPr>
      <w:rFonts w:ascii="Arial" w:hAnsi="Arial" w:eastAsia="Arial" w:cs="Arial"/>
      <w:sz w:val="24"/>
    </w:rPr>
  </w:style>
  <w:style w:type="paragraph" w:styleId="731">
    <w:name w:val="Caption"/>
    <w:basedOn w:val="696"/>
    <w:link w:val="732"/>
    <w:semiHidden/>
    <w:unhideWhenUsed/>
    <w:qFormat/>
    <w:pPr>
      <w:spacing w:line="276" w:lineRule="auto"/>
    </w:pPr>
    <w:rPr>
      <w:rFonts w:ascii="Arial" w:hAnsi="Arial" w:eastAsia="Arial" w:cs="Arial"/>
      <w:b/>
      <w:color w:val="4f81bd"/>
      <w:sz w:val="18"/>
    </w:rPr>
  </w:style>
  <w:style w:type="character" w:styleId="732" w:customStyle="1">
    <w:name w:val="Название объекта Знак"/>
    <w:basedOn w:val="706"/>
    <w:link w:val="731"/>
    <w:rPr>
      <w:rFonts w:ascii="Arial" w:hAnsi="Arial" w:eastAsia="Arial" w:cs="Arial"/>
      <w:b/>
      <w:color w:val="4f81bd"/>
      <w:sz w:val="18"/>
    </w:rPr>
  </w:style>
  <w:style w:type="table" w:styleId="733">
    <w:name w:val="Table Grid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</w:tblPr>
  </w:style>
  <w:style w:type="table" w:styleId="734" w:customStyle="1">
    <w:name w:val="Table Grid Light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</w:tblPr>
  </w:style>
  <w:style w:type="table" w:styleId="735">
    <w:name w:val="Plain Table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</w:tblPr>
  </w:style>
  <w:style w:type="table" w:styleId="736">
    <w:name w:val="Plain Table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</w:tblPr>
  </w:style>
  <w:style w:type="table" w:styleId="737">
    <w:name w:val="Plain Table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38">
    <w:name w:val="Plain Table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39">
    <w:name w:val="Plain Table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40">
    <w:name w:val="Grid Table 1 Light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1" w:customStyle="1">
    <w:name w:val="Grid Table 1 Light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2" w:customStyle="1">
    <w:name w:val="Grid Table 1 Light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3" w:customStyle="1">
    <w:name w:val="Grid Table 1 Light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4" w:customStyle="1">
    <w:name w:val="Grid Table 1 Light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5" w:customStyle="1">
    <w:name w:val="Grid Table 1 Light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6" w:customStyle="1">
    <w:name w:val="Grid Table 1 Light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7">
    <w:name w:val="Grid Table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8" w:customStyle="1">
    <w:name w:val="Grid Table 2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49" w:customStyle="1">
    <w:name w:val="Grid Table 2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0" w:customStyle="1">
    <w:name w:val="Grid Table 2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1" w:customStyle="1">
    <w:name w:val="Grid Table 2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2" w:customStyle="1">
    <w:name w:val="Grid Table 2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3" w:customStyle="1">
    <w:name w:val="Grid Table 2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4">
    <w:name w:val="Grid Table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5" w:customStyle="1">
    <w:name w:val="Grid Table 3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6" w:customStyle="1">
    <w:name w:val="Grid Table 3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7" w:customStyle="1">
    <w:name w:val="Grid Table 3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8" w:customStyle="1">
    <w:name w:val="Grid Table 3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59" w:customStyle="1">
    <w:name w:val="Grid Table 3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0" w:customStyle="1">
    <w:name w:val="Grid Table 3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1">
    <w:name w:val="Grid Table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2" w:customStyle="1">
    <w:name w:val="Grid Table 4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3" w:customStyle="1">
    <w:name w:val="Grid Table 4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4" w:customStyle="1">
    <w:name w:val="Grid Table 4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5" w:customStyle="1">
    <w:name w:val="Grid Table 4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6" w:customStyle="1">
    <w:name w:val="Grid Table 4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7" w:customStyle="1">
    <w:name w:val="Grid Table 4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68">
    <w:name w:val="Grid Table 5 Dark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bfbfbf"/>
      <w:tblCellMar>
        <w:left w:w="0" w:type="dxa"/>
        <w:right w:w="0" w:type="dxa"/>
      </w:tblCellMar>
    </w:tblPr>
  </w:style>
  <w:style w:type="table" w:styleId="769" w:customStyle="1">
    <w:name w:val="Grid Table 5 Dark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debf6"/>
      <w:tblCellMar>
        <w:left w:w="0" w:type="dxa"/>
        <w:right w:w="0" w:type="dxa"/>
      </w:tblCellMar>
    </w:tblPr>
  </w:style>
  <w:style w:type="table" w:styleId="770" w:customStyle="1">
    <w:name w:val="Grid Table 5 Dark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be5d6"/>
      <w:tblCellMar>
        <w:left w:w="0" w:type="dxa"/>
        <w:right w:w="0" w:type="dxa"/>
      </w:tblCellMar>
    </w:tblPr>
  </w:style>
  <w:style w:type="table" w:styleId="771" w:customStyle="1">
    <w:name w:val="Grid Table 5 Dark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deded"/>
      <w:tblCellMar>
        <w:left w:w="0" w:type="dxa"/>
        <w:right w:w="0" w:type="dxa"/>
      </w:tblCellMar>
    </w:tblPr>
  </w:style>
  <w:style w:type="table" w:styleId="772" w:customStyle="1">
    <w:name w:val="Grid Table 5 Dark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ef2cb"/>
      <w:tblCellMar>
        <w:left w:w="0" w:type="dxa"/>
        <w:right w:w="0" w:type="dxa"/>
      </w:tblCellMar>
    </w:tblPr>
  </w:style>
  <w:style w:type="table" w:styleId="773" w:customStyle="1">
    <w:name w:val="Grid Table 5 Dark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9e2f2"/>
      <w:tblCellMar>
        <w:left w:w="0" w:type="dxa"/>
        <w:right w:w="0" w:type="dxa"/>
      </w:tblCellMar>
    </w:tblPr>
  </w:style>
  <w:style w:type="table" w:styleId="774" w:customStyle="1">
    <w:name w:val="Grid Table 5 Dark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2efd8"/>
      <w:tblCellMar>
        <w:left w:w="0" w:type="dxa"/>
        <w:right w:w="0" w:type="dxa"/>
      </w:tblCellMar>
    </w:tblPr>
  </w:style>
  <w:style w:type="table" w:styleId="775">
    <w:name w:val="Grid Table 6 Colorful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76" w:customStyle="1">
    <w:name w:val="Grid Table 6 Colorful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77" w:customStyle="1">
    <w:name w:val="Grid Table 6 Colorful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78" w:customStyle="1">
    <w:name w:val="Grid Table 6 Colorful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79" w:customStyle="1">
    <w:name w:val="Grid Table 6 Colorful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0" w:customStyle="1">
    <w:name w:val="Grid Table 6 Colorful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1" w:customStyle="1">
    <w:name w:val="Grid Table 6 Colorful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2">
    <w:name w:val="Grid Table 7 Colorful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3" w:customStyle="1">
    <w:name w:val="Grid Table 7 Colorful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4" w:customStyle="1">
    <w:name w:val="Grid Table 7 Colorful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5" w:customStyle="1">
    <w:name w:val="Grid Table 7 Colorful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6" w:customStyle="1">
    <w:name w:val="Grid Table 7 Colorful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7" w:customStyle="1">
    <w:name w:val="Grid Table 7 Colorful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8" w:customStyle="1">
    <w:name w:val="Grid Table 7 Colorful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789">
    <w:name w:val="List Table 1 Light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0" w:customStyle="1">
    <w:name w:val="List Table 1 Light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1" w:customStyle="1">
    <w:name w:val="List Table 1 Light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2" w:customStyle="1">
    <w:name w:val="List Table 1 Light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3" w:customStyle="1">
    <w:name w:val="List Table 1 Light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4" w:customStyle="1">
    <w:name w:val="List Table 1 Light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5" w:customStyle="1">
    <w:name w:val="List Table 1 Light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6">
    <w:name w:val="List Table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7" w:customStyle="1">
    <w:name w:val="List Table 2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8" w:customStyle="1">
    <w:name w:val="List Table 2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799" w:customStyle="1">
    <w:name w:val="List Table 2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0" w:customStyle="1">
    <w:name w:val="List Table 2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1" w:customStyle="1">
    <w:name w:val="List Table 2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2" w:customStyle="1">
    <w:name w:val="List Table 2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3">
    <w:name w:val="List Table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4" w:customStyle="1">
    <w:name w:val="List Table 3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5" w:customStyle="1">
    <w:name w:val="List Table 3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6" w:customStyle="1">
    <w:name w:val="List Table 3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7" w:customStyle="1">
    <w:name w:val="List Table 3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8" w:customStyle="1">
    <w:name w:val="List Table 3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09" w:customStyle="1">
    <w:name w:val="List Table 3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0">
    <w:name w:val="List Table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1" w:customStyle="1">
    <w:name w:val="List Table 4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2" w:customStyle="1">
    <w:name w:val="List Table 4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3" w:customStyle="1">
    <w:name w:val="List Table 4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4" w:customStyle="1">
    <w:name w:val="List Table 4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5" w:customStyle="1">
    <w:name w:val="List Table 4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6" w:customStyle="1">
    <w:name w:val="List Table 4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17">
    <w:name w:val="List Table 5 Dark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7f7f7f"/>
      <w:tblCellMar>
        <w:left w:w="0" w:type="dxa"/>
        <w:right w:w="0" w:type="dxa"/>
      </w:tblCellMar>
    </w:tblPr>
  </w:style>
  <w:style w:type="table" w:styleId="818" w:customStyle="1">
    <w:name w:val="List Table 5 Dark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5b9bd5"/>
      <w:tblCellMar>
        <w:left w:w="0" w:type="dxa"/>
        <w:right w:w="0" w:type="dxa"/>
      </w:tblCellMar>
    </w:tblPr>
  </w:style>
  <w:style w:type="table" w:styleId="819" w:customStyle="1">
    <w:name w:val="List Table 5 Dark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f4b185"/>
      <w:tblCellMar>
        <w:left w:w="0" w:type="dxa"/>
        <w:right w:w="0" w:type="dxa"/>
      </w:tblCellMar>
    </w:tblPr>
  </w:style>
  <w:style w:type="table" w:styleId="820" w:customStyle="1">
    <w:name w:val="List Table 5 Dark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c9c9c9"/>
      <w:tblCellMar>
        <w:left w:w="0" w:type="dxa"/>
        <w:right w:w="0" w:type="dxa"/>
      </w:tblCellMar>
    </w:tblPr>
  </w:style>
  <w:style w:type="table" w:styleId="821" w:customStyle="1">
    <w:name w:val="List Table 5 Dark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ffd864"/>
      <w:tblCellMar>
        <w:left w:w="0" w:type="dxa"/>
        <w:right w:w="0" w:type="dxa"/>
      </w:tblCellMar>
    </w:tblPr>
  </w:style>
  <w:style w:type="table" w:styleId="822" w:customStyle="1">
    <w:name w:val="List Table 5 Dark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8eabdb"/>
      <w:tblCellMar>
        <w:left w:w="0" w:type="dxa"/>
        <w:right w:w="0" w:type="dxa"/>
      </w:tblCellMar>
    </w:tblPr>
  </w:style>
  <w:style w:type="table" w:styleId="823" w:customStyle="1">
    <w:name w:val="List Table 5 Dark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aad08f"/>
      <w:tblCellMar>
        <w:left w:w="0" w:type="dxa"/>
        <w:right w:w="0" w:type="dxa"/>
      </w:tblCellMar>
    </w:tblPr>
  </w:style>
  <w:style w:type="table" w:styleId="824">
    <w:name w:val="List Table 6 Colorful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25" w:customStyle="1">
    <w:name w:val="List Table 6 Colorful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26" w:customStyle="1">
    <w:name w:val="List Table 6 Colorful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27" w:customStyle="1">
    <w:name w:val="List Table 6 Colorful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28" w:customStyle="1">
    <w:name w:val="List Table 6 Colorful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29" w:customStyle="1">
    <w:name w:val="List Table 6 Colorful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0" w:customStyle="1">
    <w:name w:val="List Table 6 Colorful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1">
    <w:name w:val="List Table 7 Colorful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2" w:customStyle="1">
    <w:name w:val="List Table 7 Colorful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3" w:customStyle="1">
    <w:name w:val="List Table 7 Colorful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4" w:customStyle="1">
    <w:name w:val="List Table 7 Colorful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5" w:customStyle="1">
    <w:name w:val="List Table 7 Colorful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6" w:customStyle="1">
    <w:name w:val="List Table 7 Colorful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7" w:customStyle="1">
    <w:name w:val="List Table 7 Colorful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8" w:customStyle="1">
    <w:name w:val="Lined - Accent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39" w:customStyle="1">
    <w:name w:val="Lined - Accent 1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0" w:customStyle="1">
    <w:name w:val="Lined - Accent 2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1" w:customStyle="1">
    <w:name w:val="Lined - Accent 3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2" w:customStyle="1">
    <w:name w:val="Lined - Accent 4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3" w:customStyle="1">
    <w:name w:val="Lined - Accent 5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4" w:customStyle="1">
    <w:name w:val="Lined - Accent 6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CellMar>
        <w:left w:w="0" w:type="dxa"/>
        <w:right w:w="0" w:type="dxa"/>
      </w:tblCellMar>
    </w:tblPr>
  </w:style>
  <w:style w:type="table" w:styleId="845" w:customStyle="1">
    <w:name w:val="Bordered &amp; Lined - Accent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46" w:customStyle="1">
    <w:name w:val="Bordered &amp; Lined - Accent 1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47" w:customStyle="1">
    <w:name w:val="Bordered &amp; Lined - Accent 2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48" w:customStyle="1">
    <w:name w:val="Bordered &amp; Lined - Accent 3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49" w:customStyle="1">
    <w:name w:val="Bordered &amp; Lined - Accent 4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0" w:customStyle="1">
    <w:name w:val="Bordered &amp; Lined - Accent 5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1" w:customStyle="1">
    <w:name w:val="Bordered &amp; Lined - Accent 6"/>
    <w:basedOn w:val="707"/>
    <w:pPr>
      <w:spacing w:after="0" w:line="240" w:lineRule="auto"/>
    </w:pPr>
    <w:rPr>
      <w:rFonts w:ascii="Arial" w:hAnsi="Arial" w:eastAsia="Arial" w:cs="Arial"/>
      <w:color w:val="404040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2" w:customStyle="1">
    <w:name w:val="Bordered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3" w:customStyle="1">
    <w:name w:val="Bordered - Accent 1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4" w:customStyle="1">
    <w:name w:val="Bordered - Accent 2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5" w:customStyle="1">
    <w:name w:val="Bordered - Accent 3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6" w:customStyle="1">
    <w:name w:val="Bordered - Accent 4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7" w:customStyle="1">
    <w:name w:val="Bordered - Accent 5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table" w:styleId="858" w:customStyle="1">
    <w:name w:val="Bordered - Accent 6"/>
    <w:basedOn w:val="707"/>
    <w:pPr>
      <w:spacing w:after="0" w:line="240" w:lineRule="auto"/>
    </w:pPr>
    <w:rPr>
      <w:rFonts w:ascii="Arial" w:hAnsi="Arial" w:eastAsia="Arial" w:cs="Arial"/>
      <w:sz w:val="24"/>
    </w:rPr>
    <w:tblPr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CellMar>
        <w:left w:w="0" w:type="dxa"/>
        <w:right w:w="0" w:type="dxa"/>
      </w:tblCellMar>
    </w:tblPr>
  </w:style>
  <w:style w:type="paragraph" w:styleId="859">
    <w:name w:val="footnote text"/>
    <w:basedOn w:val="696"/>
    <w:semiHidden/>
    <w:unhideWhenUsed/>
    <w:pPr>
      <w:spacing w:after="40"/>
    </w:pPr>
    <w:rPr>
      <w:rFonts w:ascii="Arial" w:hAnsi="Arial" w:eastAsia="Arial" w:cs="Arial"/>
      <w:sz w:val="18"/>
    </w:rPr>
  </w:style>
  <w:style w:type="character" w:styleId="860" w:customStyle="1">
    <w:name w:val="Footnote Text Char"/>
    <w:rPr>
      <w:rFonts w:ascii="Arial" w:hAnsi="Arial" w:eastAsia="Arial" w:cs="Arial"/>
      <w:sz w:val="18"/>
    </w:rPr>
  </w:style>
  <w:style w:type="character" w:styleId="861">
    <w:name w:val="footnote reference"/>
    <w:basedOn w:val="706"/>
    <w:unhideWhenUsed/>
    <w:rPr>
      <w:rFonts w:ascii="Arial" w:hAnsi="Arial" w:eastAsia="Arial" w:cs="Arial"/>
      <w:sz w:val="24"/>
      <w:vertAlign w:val="superscript"/>
    </w:rPr>
  </w:style>
  <w:style w:type="paragraph" w:styleId="862">
    <w:name w:val="endnote text"/>
    <w:basedOn w:val="696"/>
    <w:semiHidden/>
    <w:unhideWhenUsed/>
    <w:rPr>
      <w:rFonts w:ascii="Arial" w:hAnsi="Arial" w:eastAsia="Arial" w:cs="Arial"/>
      <w:sz w:val="20"/>
    </w:rPr>
  </w:style>
  <w:style w:type="character" w:styleId="863" w:customStyle="1">
    <w:name w:val="Endnote Text Char"/>
    <w:rPr>
      <w:rFonts w:ascii="Arial" w:hAnsi="Arial" w:eastAsia="Arial" w:cs="Arial"/>
      <w:sz w:val="20"/>
    </w:rPr>
  </w:style>
  <w:style w:type="character" w:styleId="864">
    <w:name w:val="endnote reference"/>
    <w:basedOn w:val="706"/>
    <w:semiHidden/>
    <w:unhideWhenUsed/>
    <w:rPr>
      <w:rFonts w:ascii="Arial" w:hAnsi="Arial" w:eastAsia="Arial" w:cs="Arial"/>
      <w:sz w:val="24"/>
      <w:vertAlign w:val="superscript"/>
    </w:rPr>
  </w:style>
  <w:style w:type="paragraph" w:styleId="865">
    <w:name w:val="toc 1"/>
    <w:basedOn w:val="696"/>
    <w:unhideWhenUsed/>
    <w:pPr>
      <w:spacing w:after="57"/>
    </w:pPr>
    <w:rPr>
      <w:rFonts w:ascii="Arial" w:hAnsi="Arial" w:eastAsia="Arial" w:cs="Arial"/>
    </w:rPr>
  </w:style>
  <w:style w:type="paragraph" w:styleId="866">
    <w:name w:val="toc 2"/>
    <w:basedOn w:val="696"/>
    <w:unhideWhenUsed/>
    <w:pPr>
      <w:ind w:left="283"/>
      <w:spacing w:after="57"/>
    </w:pPr>
    <w:rPr>
      <w:rFonts w:ascii="Arial" w:hAnsi="Arial" w:eastAsia="Arial" w:cs="Arial"/>
    </w:rPr>
  </w:style>
  <w:style w:type="paragraph" w:styleId="867">
    <w:name w:val="toc 3"/>
    <w:basedOn w:val="696"/>
    <w:unhideWhenUsed/>
    <w:pPr>
      <w:ind w:left="567"/>
      <w:spacing w:after="57"/>
    </w:pPr>
    <w:rPr>
      <w:rFonts w:ascii="Arial" w:hAnsi="Arial" w:eastAsia="Arial" w:cs="Arial"/>
    </w:rPr>
  </w:style>
  <w:style w:type="paragraph" w:styleId="868">
    <w:name w:val="toc 4"/>
    <w:basedOn w:val="696"/>
    <w:unhideWhenUsed/>
    <w:pPr>
      <w:ind w:left="850"/>
      <w:spacing w:after="57"/>
    </w:pPr>
    <w:rPr>
      <w:rFonts w:ascii="Arial" w:hAnsi="Arial" w:eastAsia="Arial" w:cs="Arial"/>
    </w:rPr>
  </w:style>
  <w:style w:type="paragraph" w:styleId="869">
    <w:name w:val="toc 5"/>
    <w:basedOn w:val="696"/>
    <w:unhideWhenUsed/>
    <w:pPr>
      <w:ind w:left="1134"/>
      <w:spacing w:after="57"/>
    </w:pPr>
    <w:rPr>
      <w:rFonts w:ascii="Arial" w:hAnsi="Arial" w:eastAsia="Arial" w:cs="Arial"/>
    </w:rPr>
  </w:style>
  <w:style w:type="paragraph" w:styleId="870">
    <w:name w:val="toc 6"/>
    <w:basedOn w:val="696"/>
    <w:unhideWhenUsed/>
    <w:pPr>
      <w:ind w:left="1417"/>
      <w:spacing w:after="57"/>
    </w:pPr>
    <w:rPr>
      <w:rFonts w:ascii="Arial" w:hAnsi="Arial" w:eastAsia="Arial" w:cs="Arial"/>
    </w:rPr>
  </w:style>
  <w:style w:type="paragraph" w:styleId="871">
    <w:name w:val="toc 7"/>
    <w:basedOn w:val="696"/>
    <w:unhideWhenUsed/>
    <w:pPr>
      <w:ind w:left="1701"/>
      <w:spacing w:after="57"/>
    </w:pPr>
    <w:rPr>
      <w:rFonts w:ascii="Arial" w:hAnsi="Arial" w:eastAsia="Arial" w:cs="Arial"/>
    </w:rPr>
  </w:style>
  <w:style w:type="paragraph" w:styleId="872">
    <w:name w:val="toc 8"/>
    <w:basedOn w:val="696"/>
    <w:unhideWhenUsed/>
    <w:pPr>
      <w:ind w:left="1984"/>
      <w:spacing w:after="57"/>
    </w:pPr>
    <w:rPr>
      <w:rFonts w:ascii="Arial" w:hAnsi="Arial" w:eastAsia="Arial" w:cs="Arial"/>
    </w:rPr>
  </w:style>
  <w:style w:type="paragraph" w:styleId="873">
    <w:name w:val="toc 9"/>
    <w:basedOn w:val="696"/>
    <w:unhideWhenUsed/>
    <w:pPr>
      <w:ind w:left="2268"/>
      <w:spacing w:after="57"/>
    </w:pPr>
    <w:rPr>
      <w:rFonts w:ascii="Arial" w:hAnsi="Arial" w:eastAsia="Arial" w:cs="Arial"/>
    </w:rPr>
  </w:style>
  <w:style w:type="paragraph" w:styleId="874">
    <w:name w:val="TOC Heading"/>
    <w:unhideWhenUsed/>
    <w:pPr>
      <w:spacing w:after="0" w:line="240" w:lineRule="auto"/>
    </w:pPr>
    <w:rPr>
      <w:rFonts w:ascii="Arial" w:hAnsi="Arial" w:eastAsia="Arial" w:cs="Arial"/>
      <w:sz w:val="24"/>
    </w:rPr>
  </w:style>
  <w:style w:type="paragraph" w:styleId="875">
    <w:name w:val="table of figures"/>
    <w:basedOn w:val="696"/>
    <w:unhideWhenUsed/>
    <w:rPr>
      <w:rFonts w:ascii="Arial" w:hAnsi="Arial" w:eastAsia="Arial" w:cs="Arial"/>
    </w:rPr>
  </w:style>
  <w:style w:type="paragraph" w:styleId="876" w:customStyle="1">
    <w:name w:val="Знак Знак Знак"/>
    <w:basedOn w:val="696"/>
    <w:uiPriority w:val="99"/>
    <w:pPr>
      <w:spacing w:after="160" w:line="240" w:lineRule="exact"/>
    </w:pPr>
    <w:rPr>
      <w:rFonts w:ascii="Verdana" w:hAnsi="Verdana" w:eastAsia="Verdana" w:cs="Verdana"/>
      <w:sz w:val="20"/>
    </w:rPr>
  </w:style>
  <w:style w:type="paragraph" w:styleId="877">
    <w:name w:val="Balloon Text"/>
    <w:basedOn w:val="696"/>
    <w:semiHidden/>
    <w:rPr>
      <w:rFonts w:ascii="Tahoma" w:hAnsi="Tahoma" w:eastAsia="Tahoma" w:cs="Tahoma"/>
      <w:sz w:val="16"/>
    </w:rPr>
  </w:style>
  <w:style w:type="character" w:styleId="878" w:customStyle="1">
    <w:name w:val="Текст выноски Знак"/>
    <w:basedOn w:val="706"/>
    <w:semiHidden/>
    <w:rPr>
      <w:rFonts w:ascii="SegoeUI" w:hAnsi="SegoeUI" w:eastAsia="SegoeUI" w:cs="SegoeUI"/>
      <w:sz w:val="18"/>
    </w:rPr>
  </w:style>
  <w:style w:type="paragraph" w:styleId="879" w:customStyle="1">
    <w:name w:val="ConsPlusNormal"/>
    <w:pPr>
      <w:ind w:firstLine="720"/>
      <w:spacing w:after="0" w:line="240" w:lineRule="auto"/>
    </w:pPr>
    <w:rPr>
      <w:rFonts w:ascii="Arial" w:hAnsi="Arial" w:eastAsia="Arial" w:cs="Arial"/>
      <w:sz w:val="20"/>
    </w:rPr>
  </w:style>
  <w:style w:type="paragraph" w:styleId="880" w:customStyle="1">
    <w:name w:val="ConsPlusTitle"/>
    <w:pPr>
      <w:spacing w:after="0" w:line="240" w:lineRule="auto"/>
    </w:pPr>
    <w:rPr>
      <w:rFonts w:ascii="Arial" w:hAnsi="Arial" w:eastAsia="Arial" w:cs="Arial"/>
      <w:b/>
      <w:sz w:val="20"/>
    </w:rPr>
  </w:style>
  <w:style w:type="paragraph" w:styleId="881" w:customStyle="1">
    <w:name w:val="Знак Знак Знак2"/>
    <w:basedOn w:val="696"/>
    <w:pPr>
      <w:spacing w:after="160" w:line="240" w:lineRule="exact"/>
    </w:pPr>
    <w:rPr>
      <w:rFonts w:ascii="Verdana" w:hAnsi="Verdana" w:eastAsia="Verdana" w:cs="Verdana"/>
      <w:sz w:val="20"/>
    </w:rPr>
  </w:style>
  <w:style w:type="paragraph" w:styleId="882">
    <w:name w:val="Header"/>
    <w:basedOn w:val="696"/>
    <w:pPr>
      <w:tabs>
        <w:tab w:val="center" w:pos="4677" w:leader="none"/>
        <w:tab w:val="right" w:pos="9355" w:leader="none"/>
      </w:tabs>
    </w:pPr>
  </w:style>
  <w:style w:type="character" w:styleId="883" w:customStyle="1">
    <w:name w:val="Верхний колонтитул Знак"/>
    <w:basedOn w:val="706"/>
    <w:semiHidden/>
    <w:rPr>
      <w:rFonts w:ascii="TimesNewRoman" w:hAnsi="TimesNewRoman" w:eastAsia="TimesNewRoman" w:cs="TimesNewRoman"/>
      <w:sz w:val="24"/>
    </w:rPr>
  </w:style>
  <w:style w:type="character" w:styleId="884">
    <w:name w:val="page number"/>
    <w:basedOn w:val="706"/>
    <w:rPr>
      <w:rFonts w:ascii="TimesNewRoman" w:hAnsi="TimesNewRoman" w:eastAsia="TimesNewRoman" w:cs="TimesNewRoman"/>
      <w:sz w:val="24"/>
    </w:rPr>
  </w:style>
  <w:style w:type="paragraph" w:styleId="885" w:customStyle="1">
    <w:name w:val="formattext"/>
    <w:basedOn w:val="696"/>
    <w:pPr>
      <w:spacing w:before="100" w:beforeAutospacing="1" w:after="100" w:afterAutospacing="1"/>
    </w:pPr>
  </w:style>
  <w:style w:type="character" w:styleId="886">
    <w:name w:val="Hyperlink"/>
    <w:basedOn w:val="706"/>
    <w:unhideWhenUsed/>
    <w:rPr>
      <w:rFonts w:ascii="TimesNewRoman" w:hAnsi="TimesNewRoman" w:eastAsia="TimesNewRoman" w:cs="TimesNewRoman"/>
      <w:color w:val="0000ff"/>
      <w:sz w:val="24"/>
      <w:u w:val="single"/>
    </w:rPr>
  </w:style>
  <w:style w:type="paragraph" w:styleId="887">
    <w:name w:val="Normal (Web)"/>
    <w:basedOn w:val="696"/>
    <w:uiPriority w:val="99"/>
    <w:semiHidden/>
    <w:unhideWhenUsed/>
    <w:pPr>
      <w:spacing w:before="100" w:beforeAutospacing="1" w:after="100" w:afterAutospacing="1"/>
    </w:pPr>
  </w:style>
  <w:style w:type="paragraph" w:styleId="888">
    <w:name w:val="HTML Preformatted"/>
    <w:basedOn w:val="696"/>
    <w:unhideWhenUsed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New" w:hAnsi="CourierNew" w:eastAsia="CourierNew" w:cs="CourierNew"/>
      <w:sz w:val="20"/>
    </w:rPr>
  </w:style>
  <w:style w:type="character" w:styleId="889" w:customStyle="1">
    <w:name w:val="Стандартный HTML Знак"/>
    <w:basedOn w:val="706"/>
    <w:rPr>
      <w:rFonts w:ascii="CourierNew" w:hAnsi="CourierNew" w:eastAsia="CourierNew" w:cs="CourierNew"/>
      <w:sz w:val="20"/>
    </w:rPr>
  </w:style>
  <w:style w:type="character" w:styleId="890" w:customStyle="1">
    <w:name w:val="grame"/>
    <w:rPr>
      <w:rFonts w:ascii="TimesNewRoman" w:hAnsi="TimesNewRoman" w:eastAsia="TimesNewRoman" w:cs="TimesNewRoman"/>
      <w:sz w:val="24"/>
    </w:rPr>
  </w:style>
  <w:style w:type="paragraph" w:styleId="891">
    <w:name w:val="annotation text"/>
    <w:basedOn w:val="696"/>
    <w:unhideWhenUsed/>
    <w:rPr>
      <w:sz w:val="20"/>
    </w:rPr>
  </w:style>
  <w:style w:type="character" w:styleId="892" w:customStyle="1">
    <w:name w:val="Текст примечания Знак"/>
    <w:basedOn w:val="706"/>
    <w:rPr>
      <w:rFonts w:ascii="TimesNewRoman" w:hAnsi="TimesNewRoman" w:eastAsia="TimesNewRoman" w:cs="TimesNewRoman"/>
      <w:sz w:val="20"/>
    </w:rPr>
  </w:style>
  <w:style w:type="character" w:styleId="893" w:customStyle="1">
    <w:name w:val="fontstyle01"/>
    <w:rPr>
      <w:rFonts w:hint="default" w:ascii="TimesNewRomanPSMT" w:hAnsi="TimesNewRomanPSMT"/>
      <w:b w:val="0"/>
      <w:bCs w:val="0"/>
      <w:i w:val="0"/>
      <w:iCs w:val="0"/>
      <w:color w:val="000000"/>
      <w:sz w:val="28"/>
      <w:szCs w:val="28"/>
    </w:rPr>
  </w:style>
  <w:style w:type="character" w:styleId="894">
    <w:name w:val="Unresolved Mention"/>
    <w:basedOn w:val="706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Р7-Офис/2025.4.1.1604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User</dc:creator>
  <cp:lastModifiedBy>kan</cp:lastModifiedBy>
  <cp:revision>44</cp:revision>
  <dcterms:created xsi:type="dcterms:W3CDTF">2025-10-13T11:43:00Z</dcterms:created>
  <dcterms:modified xsi:type="dcterms:W3CDTF">2026-05-07T07:11:27Z</dcterms:modified>
</cp:coreProperties>
</file>