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7060" cy="67564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9087083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07057" cy="675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80pt;height:53.2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</w:r>
      <w:r>
        <w:rPr>
          <w:rFonts w:ascii="Times New Roman" w:hAnsi="Times New Roman" w:cs="Times New Roman"/>
          <w:b/>
          <w:sz w:val="2"/>
          <w:szCs w:val="2"/>
        </w:rPr>
      </w:r>
      <w:r>
        <w:rPr>
          <w:rFonts w:ascii="Times New Roman" w:hAnsi="Times New Roman" w:cs="Times New Roman"/>
          <w:b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spacing w:val="-14"/>
          <w:sz w:val="28"/>
          <w:szCs w:val="28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  <w:sz w:val="28"/>
          <w:szCs w:val="28"/>
        </w:rPr>
      </w:r>
      <w:r>
        <w:rPr>
          <w:rFonts w:ascii="Times New Roman" w:hAnsi="Times New Roman" w:cs="Times New Roman"/>
          <w:bCs/>
          <w:spacing w:val="-14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-14"/>
          <w:sz w:val="27"/>
          <w:szCs w:val="27"/>
        </w:rPr>
      </w:pPr>
      <w:r>
        <w:rPr>
          <w:rFonts w:ascii="Times New Roman" w:hAnsi="Times New Roman" w:cs="Times New Roman"/>
          <w:b/>
          <w:bCs/>
          <w:spacing w:val="-14"/>
          <w:sz w:val="27"/>
          <w:szCs w:val="27"/>
        </w:rPr>
      </w:r>
      <w:r>
        <w:rPr>
          <w:rFonts w:ascii="Times New Roman" w:hAnsi="Times New Roman" w:cs="Times New Roman"/>
          <w:b/>
          <w:bCs/>
          <w:spacing w:val="-14"/>
          <w:sz w:val="27"/>
          <w:szCs w:val="27"/>
        </w:rPr>
      </w:r>
      <w:r>
        <w:rPr>
          <w:rFonts w:ascii="Times New Roman" w:hAnsi="Times New Roman" w:cs="Times New Roman"/>
          <w:b/>
          <w:bCs/>
          <w:spacing w:val="-14"/>
          <w:sz w:val="27"/>
          <w:szCs w:val="27"/>
        </w:rPr>
      </w:r>
    </w:p>
    <w:p>
      <w:pPr>
        <w:pStyle w:val="875"/>
        <w:ind w:right="-2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автомобильного транспорта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многодетным семьям при рождении (усыновлении) </w:t>
      </w:r>
      <w:r>
        <w:rPr>
          <w:rFonts w:ascii="Times New Roman" w:hAnsi="Times New Roman" w:cs="Times New Roman"/>
          <w:b/>
          <w:sz w:val="28"/>
          <w:szCs w:val="28"/>
        </w:rPr>
        <w:t xml:space="preserve">шестого ребенка или последующих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частью 3 статьи 48 Федеральн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lang w:val="ru-RU"/>
        </w:rPr>
        <w:t xml:space="preserve">ого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21 декабря 2021 года № 414-ФЗ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«Об общих принципах организации публичной власти </w:t>
        <w:br/>
        <w:t xml:space="preserve">в субъектах Российской Федерации»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, статьей 44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Устав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b/>
          <w:spacing w:val="20"/>
          <w:sz w:val="28"/>
          <w:szCs w:val="28"/>
        </w:rPr>
      </w:r>
      <w:r>
        <w:rPr>
          <w:rFonts w:ascii="Times New Roman" w:hAnsi="Times New Roman" w:cs="Times New Roman"/>
          <w:b/>
          <w:spacing w:val="20"/>
          <w:sz w:val="28"/>
          <w:szCs w:val="28"/>
        </w:rPr>
      </w:r>
    </w:p>
    <w:p>
      <w:pPr>
        <w:ind w:lef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Установить для многодетных семей, проживающих на территории Забайкальского края, воспитывающих пять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более детей, меру социальной поддержки в форме предоставления путем передачи в собственность легковых автомобилей </w:t>
      </w:r>
      <w:r>
        <w:rPr>
          <w:rFonts w:ascii="Times New Roman" w:hAnsi="Times New Roman" w:eastAsia="SimSun" w:cs="Times New Roman"/>
          <w:b w:val="0"/>
          <w:bCs w:val="0"/>
          <w:sz w:val="28"/>
          <w:szCs w:val="28"/>
          <w:lang w:eastAsia="zh-CN"/>
        </w:rPr>
        <w:t xml:space="preserve">при рождении в семье ребенка после 1 июля 2026 года </w:t>
      </w:r>
      <w:r>
        <w:rPr>
          <w:rFonts w:ascii="Times New Roman" w:hAnsi="Times New Roman" w:cs="Times New Roman"/>
          <w:b w:val="0"/>
          <w:bCs w:val="0"/>
          <w:color w:val="0c0d0e"/>
          <w:spacing w:val="2"/>
          <w:sz w:val="28"/>
          <w:szCs w:val="28"/>
        </w:rPr>
        <w:t xml:space="preserve">шестого ребенка или последующих детей</w:t>
      </w:r>
      <w:r>
        <w:rPr>
          <w:rFonts w:ascii="Times New Roman" w:hAnsi="Times New Roman" w:eastAsia="SimSun" w:cs="Times New Roman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(далее также - мера поддержки, предоставление легкового автомобиля)</w:t>
      </w:r>
      <w:r>
        <w:rPr>
          <w:rFonts w:ascii="Times New Roman" w:hAnsi="Times New Roman" w:eastAsia="SimSun" w:cs="Times New Roman"/>
          <w:b w:val="0"/>
          <w:bCs w:val="0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Утвердить прилагаемый Порядок предоставления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Забайкальском кра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легкового автомобиля многодетным семьям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Б.Б.Батомункуев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</w:r>
      <w:r>
        <w:rPr>
          <w:rFonts w:ascii="Times New Roman" w:hAnsi="Times New Roman" w:cs="Times New Roman"/>
          <w:sz w:val="28"/>
          <w:szCs w:val="28"/>
          <w:lang w:val="en-US" w:eastAsia="zh-CN"/>
        </w:rPr>
      </w:r>
      <w:r>
        <w:rPr>
          <w:rFonts w:ascii="Times New Roman" w:hAnsi="Times New Roman" w:cs="Times New Roman"/>
          <w:sz w:val="28"/>
          <w:szCs w:val="28"/>
          <w:lang w:val="en-US"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zh-CN"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left="5387"/>
        <w:jc w:val="center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none"/>
          <w:lang w:val="zh-CN" w:eastAsia="zh-CN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zh-CN" w:eastAsia="zh-CN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  <w:lang w:val="zh-CN" w:eastAsia="zh-CN"/>
        </w:rPr>
      </w:r>
      <w:r>
        <w:rPr>
          <w:rFonts w:ascii="Times New Roman" w:hAnsi="Times New Roman" w:cs="Times New Roman"/>
          <w:sz w:val="28"/>
          <w:szCs w:val="28"/>
          <w:lang w:val="zh-CN" w:eastAsia="zh-CN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  <w:lang w:val="zh-CN" w:eastAsia="zh-CN"/>
        </w:rPr>
      </w:r>
      <w:r>
        <w:rPr>
          <w:rFonts w:ascii="Times New Roman" w:hAnsi="Times New Roman" w:cs="Times New Roman"/>
          <w:sz w:val="28"/>
          <w:szCs w:val="28"/>
          <w:lang w:val="zh-CN" w:eastAsia="zh-CN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709"/>
        <w:jc w:val="right"/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sz w:val="27"/>
          <w:szCs w:val="27"/>
          <w:lang w:val="zh-CN"/>
        </w:rPr>
      </w:pPr>
      <w:r>
        <w:rPr>
          <w:rFonts w:ascii="Times New Roman" w:hAnsi="Times New Roman" w:cs="Times New Roman"/>
          <w:sz w:val="27"/>
          <w:szCs w:val="27"/>
          <w:lang w:val="zh-CN"/>
        </w:rPr>
      </w:r>
      <w:r>
        <w:rPr>
          <w:rFonts w:ascii="Times New Roman" w:hAnsi="Times New Roman" w:cs="Times New Roman"/>
          <w:sz w:val="27"/>
          <w:szCs w:val="27"/>
          <w:lang w:val="zh-CN"/>
        </w:rPr>
      </w:r>
      <w:r>
        <w:rPr>
          <w:rFonts w:ascii="Times New Roman" w:hAnsi="Times New Roman" w:cs="Times New Roman"/>
          <w:sz w:val="27"/>
          <w:szCs w:val="27"/>
          <w:lang w:val="zh-CN"/>
        </w:rPr>
      </w:r>
    </w:p>
    <w:p>
      <w:pPr>
        <w:ind w:left="0" w:right="0" w:firstLine="0"/>
        <w:jc w:val="center"/>
        <w:spacing w:after="0" w:line="240" w:lineRule="auto"/>
        <w:tabs>
          <w:tab w:val="left" w:pos="56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Забайкальском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легковых автомобилей многодетным семьям, </w:t>
      </w:r>
      <w:r>
        <w:rPr>
          <w:rFonts w:ascii="Times New Roman" w:hAnsi="Times New Roman" w:cs="Times New Roman"/>
          <w:b/>
          <w:sz w:val="28"/>
          <w:szCs w:val="28"/>
        </w:rPr>
        <w:t xml:space="preserve">имеющи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b/>
          <w:sz w:val="28"/>
          <w:szCs w:val="28"/>
        </w:rPr>
        <w:t xml:space="preserve">пять и более детей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c0d0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c0d0e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Настоящий Порядок определяет правила предоставления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автомобиля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 многодетным семьям,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имеющим в своем составе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пять и более несоверш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еннолетних детей, </w:t>
      </w:r>
      <w:r>
        <w:rPr>
          <w:rFonts w:ascii="Times New Roman" w:hAnsi="Times New Roman" w:cs="Times New Roman"/>
          <w:b w:val="0"/>
          <w:bCs w:val="0"/>
          <w:color w:val="0c0d0e"/>
          <w:spacing w:val="2"/>
          <w:sz w:val="28"/>
          <w:szCs w:val="28"/>
        </w:rPr>
        <w:t xml:space="preserve">при рождении в семье после 1 июля 2026 года шестого ребенка или последующих детей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 Мера поддержки предоставляется Министерством социальной </w:t>
        <w:br/>
        <w:t xml:space="preserve">и демографической политики Забайкальского края (далее – уполномоченный орган) многодетным семьям при одновременном соблюдении следующих условий: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1) многодетная семья воспитывает пять и более детей, в том числе усыновленных (удочеренных),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возрасте до 18 лет, а также детей, в том числе усыновленных (удочеренных), старше 18 лет, обучающих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ся </w:t>
        <w:br/>
        <w:t xml:space="preserve">в образовательных организациях по основным образовательным программам по очной форме - до окончания ими такого обучения, но не дольше чем до достижения ими возраста 23 лет.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предоставления меры поддержки, установленной настоящим постановлением, в составе многодетной семьи на дату обращения </w:t>
        <w:br/>
        <w:t xml:space="preserve">за ее предоставлением не учитываются дети: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 достигшие 18-летнего возраста, при приобретении ими полной дееспособности в связи с эмансипацией или со вступлением в брак, а также совершеннолетние дети в возрасте от 18 до 23 лет, обучающиеся </w:t>
        <w:br/>
        <w:t xml:space="preserve">в образовательных организациях, вступившие в брак;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признанные безвестно отсутствующими либо объявленные умершими </w:t>
        <w:br/>
        <w:t xml:space="preserve">в соответствии с решением суда, вступившим в законную силу;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находящиеся на полном государственном обеспечении </w:t>
        <w:br/>
        <w:t xml:space="preserve">в государственной или муниципальной организации;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отбывающие наказание в местах лишения свободы по приговору суда, вступившему в законную силу;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отношении которых оба родителя или единственный родитель ограничены в родительских правах или лишены родительских прав;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2) родител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(усыновители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в том числе не менее пяти детей, имеют место жительства на территории Забайкальского края или имеют место пребывания на территории Забайкальского края и не имеют места жите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льства на территории другого субъекта Российской Федерации, при этом родители (усыновители) на дату обращения проживают на территории Забайкальского края не менее 5 ле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т и являются гражданами Российской Федерации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3) в собственности членов данной семьи отсутствует легковое автомобильное транспортное ср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едство, за исключением случаев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если у семьи имеется только грузовой автомобиль или специальная техника, </w:t>
        <w:br/>
        <w:t xml:space="preserve">не предназначенная для перевозки пассажиров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один из членов семьи имеет действующее водительское удостоверение категории «</w:t>
      </w:r>
      <w:r>
        <w:rPr>
          <w:rFonts w:ascii="Times New Roman" w:hAnsi="Times New Roman" w:eastAsia="SimSun" w:cs="Times New Roman"/>
          <w:sz w:val="28"/>
          <w:szCs w:val="28"/>
          <w:lang w:val="en-US" w:eastAsia="zh-CN"/>
        </w:rPr>
        <w:t xml:space="preserve">B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» или выше;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семья не состоит на учете как находящаяся в социально опасном положении,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каждый из родителей (усыновителей) на дату обращения </w:t>
        <w:br/>
        <w:t xml:space="preserve">за предоставлением легкового автомобиля: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 страдает заболеваниями наркоманией, токсикоманией или хроническим алкоголизмом;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 состоит на профилактическом учете в подразделении по делам несовершеннолетних органов внутренних дел Российской Федерации;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6)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родители (усыновители) (один из них) осуществляют трудовую деятельность, индивидуальную предпринимательскую деятельность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условие настоящего подпункта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не применяется в случаях, если родитель: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- имеет инвалидность;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- осуществляет уход за ребенком до 3 лет, ребенком-инвалидом, инвалидом </w:t>
      </w:r>
      <w:r>
        <w:rPr>
          <w:rFonts w:ascii="Times New Roman" w:hAnsi="Times New Roman" w:eastAsia="SimSun" w:cs="Times New Roman"/>
          <w:sz w:val="28"/>
          <w:szCs w:val="28"/>
          <w:lang w:val="en-US" w:eastAsia="zh-CN"/>
        </w:rPr>
        <w:t xml:space="preserve">I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группы или престарелым лицом (старше 80 лет);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- официально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зарегистрирован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в качестве безработного в органах службы занятости населения Забайкальского края;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- является получателем страховой пенсии по старости (в том числе досрочно) и (или) накопительной пенсии, либо пенсии, предусмотренной </w:t>
      </w:r>
      <w:hyperlink r:id="rId13" w:tooltip="https://login.consultant.ru/link/?req=doc&amp;base=LAW&amp;n=520110&amp;dst=100574" w:history="1">
        <w:r>
          <w:rPr>
            <w:rStyle w:val="851"/>
            <w:rFonts w:ascii="Times New Roman" w:hAnsi="Times New Roman" w:eastAsia="SimSun"/>
            <w:color w:val="auto"/>
            <w:sz w:val="28"/>
            <w:szCs w:val="28"/>
            <w:u w:val="none"/>
            <w:lang w:eastAsia="zh-CN"/>
          </w:rPr>
          <w:t xml:space="preserve">статьей 51</w:t>
        </w:r>
      </w:hyperlink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Федерального закона от 12 декабря 2023 года № 565-ФЗ </w:t>
        <w:br/>
        <w:t xml:space="preserve">«О занятости населения в Российской Федерации», либо пенсии по старости или за выслугу лет по государственному пенсионному обеспечению.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7) многодетной семьей взято на себя обязательство не отчуждать легковой автомобиль в течение 7 лет со дня оформления права собственности на легковой автомобиль на одного из родителей (усыновителей).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 Под легковыми автомобилями в настоящем постановлении понимаются легковые автомобили российского производства, имеющие помимо места водителя не менее 6 мест для сидения.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Легковые автомобили приобретаются уполномоченным органом </w:t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порядке, установленном законодательством Российской Федерации, </w:t>
        <w:br/>
        <w:t xml:space="preserve">и в пределах бюджетных ассигнований, предусмотренных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указанные цели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в бюджете Забайкальского края на соответствующий финансовый год.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Предоставление легкового автомобиля осуществляется однократно </w:t>
        <w:br/>
        <w:t xml:space="preserve">в собственность одного из родителей (усыновителей).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отчуждения автомобиля до истечения срока, указанного </w:t>
        <w:br/>
        <w:t xml:space="preserve">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подпункте 7 пункта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порядка, средства краевого бюджета, израсходованные на приобретение автомобиля, в размере стоимости автомобиля, указанной в акте приема-передачи легкового автомобиля, подлежат возврату в краевой бюджет.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c0d0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4. Заявление о предоставлении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автомо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  <w:t xml:space="preserve">биля по форме, установленной уполномоченным органом, один из родителей (усыновителей) (далее заявитель) подает в орган социальной защиты населения по месту своего жительства (пребывания) (далее учреждение), с обязательным приложением следующих документов: 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</w:r>
      <w:r>
        <w:rPr>
          <w:rFonts w:ascii="Times New Roman" w:hAnsi="Times New Roman" w:cs="Times New Roman"/>
          <w:color w:val="0c0d0e"/>
          <w:spacing w:val="2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1) документ, удостоверяющий личность заявителя (в случае подачи заявления заявителем);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0" w:name="undefined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2) документ, удостоверяющий личность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полномоченного представителя, и документ, подтверждающий полномочия действовать </w:t>
        <w:br/>
        <w:t xml:space="preserve">от имени заявителя, оформленный в соответствии с требованиями, установленными законодательством Российской Федерации (в случае подачи заявления уполномоченным представителем);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свидетельства о государ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ственной регистрации актов гражданского состояния, содержащие сведения о рождении ребенка (детей), заключении (расторжении) брака, о перемене фамилии (имени, отчества), об установлении отцовства (при их наличии), выданные на территории Российской Федерации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сведения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подтверждающие проживание родителей (усыновителей)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на территории Забайкальско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го края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не менее 5 лет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на дату обращения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5) сведения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подтверждающие факт обучения в общеобразовательной организации, профессиональной образовательной организации, образовательной организации высшего образования (за исключением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образовательных организаций, реализующих дополнительные образовательные программы) по очной форме обучения детей старше восемнадцати лет;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0" w:name="undefined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6)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сведения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подтверждающие осуществление трудовой деятельности </w:t>
        <w:br/>
        <w:t xml:space="preserve">(в случае отсутствия сведений о трудовой деятельности в автоматизированной информационной системе Фонда пенсионного и социального страхования Российской Федерации);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сведения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подтверждающие получение пенсии за выслугу лет </w:t>
        <w:br/>
        <w:t xml:space="preserve">по государственно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му пенсионному обеспечению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Федерации 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приравненных к ним структурах (представляются в зависимости от сложившейся конкретной жизненной ситуации в случае неосуществления супругами (одним из них) либо родителем, не состоящим в браке, трудовой или индивидуальной предпринимательской деятельности);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водительское удостоверение одного из членов семьи;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8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выписка из реестра транспортных средств (ЕГИС ТС) или справка </w:t>
        <w:br/>
        <w:t xml:space="preserve">из ГИБДД об отсутствии в собственности легкового автомобиля;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9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согласие на обработку персональных данных всех членов семьи.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Документы, указанные в пунктах о статусе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многодетной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семьи, отсутствии соц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иально-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опасного положения и составе семьи, могут быть запрошены ведомством самостоятельно через систему межведомственного электронного взаимодействия (СМЭВ), если заявитель не представил их по собственной инициативе.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Заявитель (уполномоченный представитель) вправе по собственной инициативе вместе с заявлением представить следующие документы: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0" w:name="undefined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документы, содержащие сведения, подтверждающие отсутствие лишения или ограничения заявителя и его (ее) супруга (супруги) </w:t>
        <w:br/>
        <w:t xml:space="preserve">в родительских правах;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документы, содержащие сведения подтверждающие, что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семья </w:t>
        <w:br/>
        <w:t xml:space="preserve">не находится в социально опасном положении, родители (усыновители)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br/>
        <w:t xml:space="preserve">не страдают заболеваниями наркоманией, токсикоманией или хроническим алкоголизмом,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 состоят на профилактическом учете в подразделении по делам несовершеннолетних органов внутренних дел Российской Федерации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0" w:name="undefined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) удостоверение многодетной семьи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0" w:name="undefined"/>
      <w:r/>
      <w:bookmarkStart w:id="0" w:name="undefined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случае, если заявителем (уполномоченным представителем) </w:t>
        <w:br/>
        <w:t xml:space="preserve">не представлены по собственной инициативе документы, предусмотренные настоящим пунктом,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учреждение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запрашивает сведения в рамках межведомственного информационного взаимодействия путем направления межведомственных запросов в течение одного рабочего дня со дня регистрации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в учреждении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заявления и прилагаемых к нему документов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Решение о предоставлении автомобиля или об отказе принимается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учреждением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течение 15 рабочих дней (при необходимости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межведомственных запросов – до 30 рабочих дней)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 даты регистрации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заявления.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8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 Уведомление о решении направляется заявителю в течение 5 рабочих дней после его принятия.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9.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Основаниями для отказа в предоставлении автомобиля являются: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1) заявитель не является родителем (усыновителем) многодетной семьи, отвечающей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условиям настоящего Порядка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2) установление факта недостоверности сведений, представленных заявителем;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3) получение отказа в предоставлении в рамках межведомственного информационного взаимодействия сведений, предусмотренных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настоящим Порядком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4) автомобиль предоставлен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многодетной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семье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заявителя ранее;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5) смерть заявителя.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случае устранения причин, послуживших основанием для отказа </w:t>
        <w:br/>
        <w:t xml:space="preserve">в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предоставлении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выплаты в течение срока действия уведомления о принятии решения об отказе в предоставлении единовременной социальной выплаты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заявитель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(уполномоченный представитель) вправе повторно обратиться </w:t>
        <w:br/>
        <w:t xml:space="preserve">с заявлением 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предоставлении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выплаты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10. Передача автомобиля заявителю (далее – получатель) (представителю получателя) осуществляется уполномоченным органом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основании сведений, подтверждающих право получателя на предоставление автомобиля, по договору пожертвования и акту приема-передачи по форме, установленной уполномоченным органом.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11. Получатель обязан: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принять автомобиль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 акту приема-передачи;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обратиться для государственной регистрации постановки </w:t>
        <w:br/>
        <w:t xml:space="preserve">на государственный учет автомобиля в регистрационное подразделение 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инспекции безопасности дорожного движения Министерства внутренних дел Российской Федерации, на которые возложена функция по регистрации транспортных средств (далее - регистрационное подразделение регистрирующего органа), в сроки и порядке, предусмотренные </w:t>
      </w:r>
      <w:hyperlink r:id="rId14" w:tooltip="https://login.consultant.ru/link/?req=doc&amp;base=LAW&amp;n=513128&amp;dst=10001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регистрации 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течение 5 рабочих дней после государственной регистрации постановки на государственный учет автомобиля представить </w:t>
        <w:br/>
        <w:t xml:space="preserve">в уполномоченный орган копию свидетельства о регистрации автомобиля.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непредставления получателем копии свидетельства </w:t>
        <w:br/>
        <w:t xml:space="preserve">о регистрации автомобиля в установленный срок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уполномоченный орган проверяет факт нахождения легкового автомобиля в собственности получателя путем направления запроса посредством единой системы межведомственного электронного взаимодействия в регистрационное подразделение регистрирующего органа.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12. В случае выявления факта отчуждения автомобиля в течение 7 лет после передачи автомобиля уполномоченный орган в теч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ение 30 календарных дней со дня выявления данного факта направляет получателю заказным письмом с уведомлением требование о возврате в краевой бюджет денежных средств в размере стоимости автомобиля, указанной в акте приема-передачи легкового автомобиля, 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течение 30 календарных дней со дня получения данного требования. В случае невозврата получателем денежных средств </w:t>
        <w:br/>
        <w:t xml:space="preserve">в течение указанного срока уполномоченный орган принимает меры к их взысканию в судебном порядке.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13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 В случае недостаточности финансирования на данные цели </w:t>
        <w:br/>
        <w:t xml:space="preserve">в текущем финансовом году, предоставление автомобиля переносится </w:t>
        <w:br/>
        <w:t xml:space="preserve">на следующий финансовый год, о чем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уполномоченный орган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информирует заявителя.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c0d0e"/>
          <w:spacing w:val="2"/>
          <w:sz w:val="28"/>
          <w:szCs w:val="28"/>
          <w:highlight w:val="none"/>
        </w:rPr>
      </w:r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next w:val="869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No Spacing"/>
    <w:basedOn w:val="869"/>
    <w:uiPriority w:val="1"/>
    <w:qFormat/>
    <w:pPr>
      <w:spacing w:after="0" w:line="240" w:lineRule="auto"/>
    </w:pPr>
  </w:style>
  <w:style w:type="paragraph" w:styleId="873">
    <w:name w:val="List Paragraph"/>
    <w:basedOn w:val="869"/>
    <w:uiPriority w:val="34"/>
    <w:qFormat/>
    <w:pPr>
      <w:contextualSpacing/>
      <w:ind w:left="720"/>
    </w:pPr>
  </w:style>
  <w:style w:type="character" w:styleId="874" w:default="1">
    <w:name w:val="Default Paragraph Font"/>
    <w:uiPriority w:val="1"/>
    <w:semiHidden/>
    <w:unhideWhenUsed/>
  </w:style>
  <w:style w:type="paragraph" w:styleId="875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hyperlink" Target="https://login.consultant.ru/link/?req=doc&amp;base=LAW&amp;n=520110&amp;dst=100574" TargetMode="External"/><Relationship Id="rId14" Type="http://schemas.openxmlformats.org/officeDocument/2006/relationships/hyperlink" Target="https://login.consultant.ru/link/?req=doc&amp;base=LAW&amp;n=513128&amp;dst=100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2026-05-20T02:32:22Z</dcterms:modified>
</cp:coreProperties>
</file>