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5.xml" ContentType="application/vnd.openxmlformats-officedocument.wordprocessingml.header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"/>
          <w:szCs w:val="2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92480" cy="867410"/>
                <wp:effectExtent l="0" t="0" r="0" b="0"/>
                <wp:docPr id="1" name="_x0000_s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4974097" name=""/>
                        <pic:cNvPicPr/>
                        <pic:nvPr/>
                      </pic:nvPicPr>
                      <pic:blipFill>
                        <a:blip r:embed="rId15">
                          <a:extLst>
                            <a:ext uri="{96DAC541-7B7A-43D3-8B79-37D633B846F1}">
                              <asvg:svgBlip xmlns:asvg="http://schemas.microsoft.com/office/drawing/2016/SVG/main" r:embed="rId16"/>
                            </a:ext>
                          </a:extLst>
                        </a:blip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792479" cy="8674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2.40pt;height:68.3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</w:p>
    <w:p>
      <w:p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"/>
          <w:szCs w:val="2"/>
          <w:lang w:val="ru-RU" w:bidi="ru-RU"/>
        </w:rPr>
      </w:pP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</w:p>
    <w:p>
      <w:p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"/>
          <w:szCs w:val="2"/>
          <w:lang w:val="ru-RU" w:bidi="ru-RU"/>
        </w:rPr>
      </w:pP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</w:p>
    <w:p>
      <w:p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"/>
          <w:szCs w:val="2"/>
          <w:lang w:val="ru-RU" w:bidi="ru-RU"/>
        </w:rPr>
      </w:pP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</w:p>
    <w:p>
      <w:p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"/>
          <w:szCs w:val="2"/>
          <w:lang w:val="ru-RU" w:bidi="ru-RU"/>
        </w:rPr>
      </w:pP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</w:p>
    <w:p>
      <w:p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"/>
          <w:szCs w:val="2"/>
          <w:lang w:val="ru-RU" w:bidi="ru-RU"/>
        </w:rPr>
      </w:pP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</w:p>
    <w:p>
      <w:p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"/>
          <w:szCs w:val="2"/>
          <w:lang w:val="ru-RU" w:bidi="ru-RU"/>
        </w:rPr>
      </w:pP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</w:p>
    <w:p>
      <w:p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"/>
          <w:szCs w:val="2"/>
          <w:lang w:val="ru-RU" w:bidi="ru-RU"/>
        </w:rPr>
      </w:pP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</w:p>
    <w:p>
      <w:p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"/>
          <w:szCs w:val="2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33"/>
          <w:szCs w:val="33"/>
          <w:lang w:val="ru-RU" w:bidi="ru-RU"/>
        </w:rPr>
        <w:t xml:space="preserve">ПРАВИТЕЛЬСТВО ЗАБАЙКАЛЬСКОГО КРАЯ</w:t>
      </w:r>
      <w:r>
        <w:rPr>
          <w:rFonts w:ascii="Times New Roman" w:hAnsi="Times New Roman" w:eastAsia="Times New Roman" w:cs="Times New Roman"/>
          <w:b/>
          <w:bCs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"/>
          <w:szCs w:val="2"/>
          <w:lang w:val="ru-RU" w:bidi="ru-RU"/>
        </w:rPr>
      </w:r>
    </w:p>
    <w:p>
      <w:p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"/>
          <w:szCs w:val="2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"/>
          <w:szCs w:val="2"/>
          <w:lang w:val="ru-RU" w:bidi="ru-RU"/>
        </w:rPr>
      </w:r>
    </w:p>
    <w:p>
      <w:p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"/>
          <w:szCs w:val="2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"/>
          <w:szCs w:val="2"/>
          <w:lang w:val="ru-RU" w:bidi="ru-RU"/>
        </w:rPr>
      </w:r>
    </w:p>
    <w:p>
      <w:p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"/>
          <w:szCs w:val="2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"/>
          <w:szCs w:val="2"/>
          <w:lang w:val="ru-RU" w:bidi="ru-RU"/>
        </w:rPr>
      </w:r>
    </w:p>
    <w:p>
      <w:p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"/>
          <w:szCs w:val="2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"/>
          <w:szCs w:val="2"/>
          <w:lang w:val="ru-RU" w:bidi="ru-RU"/>
        </w:rPr>
      </w:r>
    </w:p>
    <w:p>
      <w:p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"/>
          <w:szCs w:val="2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"/>
          <w:szCs w:val="2"/>
          <w:lang w:val="ru-RU" w:bidi="ru-RU"/>
        </w:rPr>
      </w:r>
    </w:p>
    <w:p>
      <w:p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35"/>
          <w:szCs w:val="35"/>
          <w:lang w:val="ru-RU" w:bidi="ru-RU"/>
        </w:rPr>
      </w:pPr>
      <w:r>
        <w:rPr>
          <w:rFonts w:ascii="Times New Roman" w:hAnsi="Times New Roman" w:eastAsia="Times New Roman" w:cs="Times New Roman"/>
          <w:sz w:val="35"/>
          <w:szCs w:val="35"/>
          <w:lang w:val="ru-RU" w:bidi="ru-RU"/>
        </w:rPr>
        <w:t xml:space="preserve">РАСПОРЯЖЕНИЕ</w:t>
      </w:r>
      <w:r>
        <w:rPr>
          <w:rFonts w:ascii="Times New Roman" w:hAnsi="Times New Roman" w:eastAsia="Times New Roman" w:cs="Times New Roman"/>
          <w:sz w:val="35"/>
          <w:szCs w:val="35"/>
          <w:lang w:val="ru-RU" w:bidi="ru-RU"/>
        </w:rPr>
      </w:r>
      <w:r>
        <w:rPr>
          <w:rFonts w:ascii="Times New Roman" w:hAnsi="Times New Roman" w:eastAsia="Times New Roman" w:cs="Times New Roman"/>
          <w:sz w:val="35"/>
          <w:szCs w:val="35"/>
          <w:lang w:val="ru-RU" w:bidi="ru-RU"/>
        </w:rPr>
      </w:r>
    </w:p>
    <w:p>
      <w:p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"/>
          <w:szCs w:val="2"/>
          <w:lang w:val="ru-RU" w:bidi="ru-RU"/>
        </w:rPr>
      </w:pP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</w:p>
    <w:p>
      <w:p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"/>
          <w:szCs w:val="2"/>
          <w:lang w:val="ru-RU" w:bidi="ru-RU"/>
        </w:rPr>
      </w:pP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</w:p>
    <w:p>
      <w:p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"/>
          <w:szCs w:val="2"/>
          <w:lang w:val="ru-RU" w:bidi="ru-RU"/>
        </w:rPr>
      </w:pP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</w:p>
    <w:p>
      <w:p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"/>
          <w:szCs w:val="2"/>
          <w:lang w:val="ru-RU" w:bidi="ru-RU"/>
        </w:rPr>
      </w:pP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</w:p>
    <w:p>
      <w:p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"/>
          <w:szCs w:val="2"/>
          <w:lang w:val="ru-RU" w:bidi="ru-RU"/>
        </w:rPr>
      </w:pP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</w:p>
    <w:p>
      <w:p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"/>
          <w:szCs w:val="2"/>
          <w:lang w:val="ru-RU" w:bidi="ru-RU"/>
        </w:rPr>
      </w:pP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  <w:lang w:val="ru-RU" w:bidi="ru-RU"/>
        </w:rPr>
      </w:r>
    </w:p>
    <w:p>
      <w:p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35"/>
          <w:szCs w:val="35"/>
          <w:lang w:val="ru-RU" w:bidi="ru-RU"/>
        </w:rPr>
      </w:pPr>
      <w:r>
        <w:rPr>
          <w:rFonts w:ascii="Times New Roman" w:hAnsi="Times New Roman" w:eastAsia="Times New Roman" w:cs="Times New Roman"/>
          <w:sz w:val="35"/>
          <w:szCs w:val="35"/>
          <w:lang w:val="ru-RU" w:bidi="ru-RU"/>
        </w:rPr>
        <w:t xml:space="preserve">г. Чита</w:t>
      </w:r>
      <w:r>
        <w:rPr>
          <w:rFonts w:ascii="Times New Roman" w:hAnsi="Times New Roman" w:eastAsia="Times New Roman" w:cs="Times New Roman"/>
          <w:sz w:val="35"/>
          <w:szCs w:val="35"/>
          <w:lang w:val="ru-RU" w:bidi="ru-RU"/>
        </w:rPr>
      </w:r>
      <w:r>
        <w:rPr>
          <w:rFonts w:ascii="Times New Roman" w:hAnsi="Times New Roman" w:eastAsia="Times New Roman" w:cs="Times New Roman"/>
          <w:sz w:val="35"/>
          <w:szCs w:val="35"/>
          <w:lang w:val="ru-RU" w:bidi="ru-RU"/>
        </w:rPr>
      </w:r>
    </w:p>
    <w:p>
      <w:pPr>
        <w:ind w:left="719" w:hanging="10"/>
        <w:jc w:val="center"/>
        <w:spacing w:after="172" w:line="268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  <w:t xml:space="preserve">Об утверждении Комплексного плана развития транспортной, энергетической, телекоммуникационной, социальной и иной инфраструктуры Забайкальского края на период до 2036 года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</w:p>
    <w:p>
      <w:pPr>
        <w:ind w:left="719" w:hanging="10"/>
        <w:jc w:val="center"/>
        <w:spacing w:after="172" w:line="268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1.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 Утвердить прилагаемый К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омплексный план развития</w:t>
        <w:br/>
        <w:t xml:space="preserve">транспортной, энергетической, телекоммуникационной, социальной и иной инфраструктуры Забайкальского края на период до 2036 года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 в Правительстве Забайкальского края.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  <w14:ligatures w14:val="none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highlight w:val="none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Исполнительным органам Забайкальского края руководствоваться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положениями Плана при разработке и реализации документов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стратегического планирования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.</w:t>
      </w:r>
      <w:r>
        <w:rPr>
          <w:rFonts w:ascii="Times New Roman" w:hAnsi="Times New Roman" w:eastAsia="Times New Roman" w:cs="Times New Roman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highlight w:val="none"/>
          <w:lang w:val="ru-RU" w:bidi="ru-RU"/>
          <w14:ligatures w14:val="none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highlight w:val="none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Рекомендовать органам местного самоуправления муниципальных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образований Забайкальского края руководствоваться положениями Плана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при разработке и реализац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ии документов стратегического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планирования муниципальных образований Забайкальского края.</w:t>
      </w:r>
      <w:r>
        <w:rPr>
          <w:rFonts w:ascii="Times New Roman" w:hAnsi="Times New Roman" w:eastAsia="Times New Roman" w:cs="Times New Roman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highlight w:val="none"/>
          <w:lang w:val="ru-RU" w:bidi="ru-RU"/>
          <w14:ligatures w14:val="none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  <w14:ligatures w14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yellow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yellow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  <w:lang w:val="ru-RU" w:bidi="ru-RU"/>
          <w14:ligatures w14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yellow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yellow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  <w:lang w:val="ru-RU" w:bidi="ru-RU"/>
          <w14:ligatures w14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yellow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yellow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  <w:lang w:val="ru-RU" w:bidi="ru-RU"/>
          <w14:ligatures w14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yellow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yellow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  <w:lang w:val="ru-RU" w:bidi="ru-RU"/>
          <w14:ligatures w14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yellow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yellow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  <w:lang w:val="ru-RU" w:bidi="ru-RU"/>
          <w14:ligatures w14:val="none"/>
        </w:rPr>
      </w:r>
    </w:p>
    <w:p>
      <w:pPr>
        <w:ind w:left="0" w:firstLine="0"/>
        <w:jc w:val="right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  <w14:ligatures w14:val="none"/>
        </w:rPr>
      </w:r>
    </w:p>
    <w:tbl>
      <w:tblPr>
        <w:tblStyle w:val="868"/>
        <w:tblW w:w="0" w:type="auto"/>
        <w:tblLayout w:type="fixed"/>
        <w:tblLook w:val="04A0" w:firstRow="1" w:lastRow="0" w:firstColumn="1" w:lastColumn="0" w:noHBand="0" w:noVBand="1"/>
      </w:tblPr>
      <w:tblGrid>
        <w:gridCol w:w="3509"/>
        <w:gridCol w:w="606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9" w:type="dxa"/>
            <w:textDirection w:val="lrTb"/>
            <w:noWrap w:val="false"/>
          </w:tcPr>
          <w:p>
            <w:pPr>
              <w:ind w:left="0" w:firstLine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 w:bidi="ru-RU"/>
              </w:rPr>
              <w:t xml:space="preserve">Первый заместитель председателя Правительства Забайкальского края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60" w:type="dxa"/>
            <w:vAlign w:val="bottom"/>
            <w:textDirection w:val="lrTb"/>
            <w:noWrap w:val="false"/>
          </w:tcPr>
          <w:p>
            <w:pPr>
              <w:ind w:left="0" w:firstLine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 w:bidi="ru-RU"/>
              </w:rPr>
              <w:t xml:space="preserve">Б.Б. Батомункуев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 w:bidi="ru-RU"/>
                <w14:ligatures w14:val="none"/>
              </w:rPr>
            </w:r>
          </w:p>
        </w:tc>
      </w:tr>
    </w:tbl>
    <w:p>
      <w:pPr>
        <w:ind w:left="719" w:hanging="10"/>
        <w:jc w:val="center"/>
        <w:spacing w:after="172" w:line="268" w:lineRule="auto"/>
        <w:rPr>
          <w:b/>
          <w:bCs/>
          <w:sz w:val="28"/>
          <w:szCs w:val="28"/>
          <w:highlight w:val="none"/>
        </w:rPr>
        <w:sectPr>
          <w:headerReference w:type="default" r:id="rId9"/>
          <w:headerReference w:type="even" r:id="rId10"/>
          <w:headerReference w:type="first" r:id="rId11"/>
          <w:footnotePr/>
          <w:endnotePr/>
          <w:type w:val="nextPage"/>
          <w:pgSz w:w="11906" w:h="16838" w:orient="portrait"/>
          <w:pgMar w:top="1440" w:right="851" w:bottom="1440" w:left="1701" w:header="709" w:footer="709" w:gutter="0"/>
          <w:cols w:num="1" w:sep="0" w:space="720" w:equalWidth="1"/>
          <w:docGrid w:linePitch="360"/>
        </w:sectPr>
      </w:pPr>
      <w:r>
        <w:rPr>
          <w:b/>
          <w:sz w:val="28"/>
          <w:szCs w:val="24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1012"/>
        <w:ind w:left="719" w:hanging="10"/>
        <w:jc w:val="center"/>
        <w:spacing w:after="172" w:line="268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4"/>
        </w:rPr>
        <w:t xml:space="preserve">КОМПЛЕКСНЫЙ ПЛАН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left="0" w:right="0" w:firstLine="72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развития транспортной, энергетической, телекоммуникационной, социальной инфраструктуры Забайкальского края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на период до 2036 года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</w:p>
    <w:p>
      <w:pPr>
        <w:ind w:left="0" w:right="0" w:firstLine="72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Комплексный план развития транспортной, энергетической, телекоммуникационной, социальной и иной инфраструктуры Забайкальского края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на период до 2036 года разработан в соответствии 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 Пунктом 3 распоряжения Правительства Российской Федерации от 29 августа 2025 г. № 2365-р и содержит информацию о приоритетных объектах инфраструктуры регионального и межмуниципального значения, в том числе необходимых для обеспечения реализации комплексно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го плана развития транспортной, энергетической, телекоммуникационной, социальной и иной инфраструктуры на период до 2036 года, необходимой для реализации национальных целей развития Российской Федерации на период до 2030 года и на перспективу до 2036 года.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  <w14:ligatures w14:val="none"/>
        </w:rPr>
      </w:r>
    </w:p>
    <w:p>
      <w:pPr>
        <w:pStyle w:val="1012"/>
        <w:sectPr>
          <w:footnotePr/>
          <w:endnotePr/>
          <w:type w:val="nextPage"/>
          <w:pgSz w:w="11906" w:h="16838" w:orient="portrait"/>
          <w:pgMar w:top="1440" w:right="851" w:bottom="1440" w:left="1701" w:header="720" w:footer="720" w:gutter="0"/>
          <w:cols w:num="1" w:sep="0" w:space="720" w:equalWidth="1"/>
          <w:docGrid w:linePitch="360"/>
        </w:sectPr>
      </w:pPr>
      <w:r/>
      <w:r/>
    </w:p>
    <w:p>
      <w:pPr>
        <w:ind w:left="0" w:right="0" w:firstLine="72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I. Транспортная инфраструктура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</w:p>
    <w:p>
      <w:pPr>
        <w:ind w:left="0" w:right="0" w:firstLine="720"/>
        <w:jc w:val="center"/>
        <w:spacing w:before="0" w:after="0" w:line="240" w:lineRule="auto"/>
        <w:rPr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52"/>
        <w:numPr>
          <w:ilvl w:val="0"/>
          <w:numId w:val="40"/>
        </w:numPr>
        <w:ind w:left="0" w:right="0" w:firstLine="72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Целевые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показатели и результаты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реализации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раздела I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комплексного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плана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  <w14:ligatures w14:val="none"/>
        </w:rPr>
      </w:r>
    </w:p>
    <w:tbl>
      <w:tblPr>
        <w:tblW w:w="15036" w:type="dxa"/>
        <w:tblInd w:w="-4045" w:type="dxa"/>
        <w:tblLayout w:type="fixed"/>
        <w:tblCellMar>
          <w:left w:w="43" w:type="dxa"/>
          <w:top w:w="39" w:type="dxa"/>
          <w:right w:w="63" w:type="dxa"/>
          <w:bottom w:w="0" w:type="dxa"/>
        </w:tblCellMar>
        <w:tblLook w:val="04A0" w:firstRow="1" w:lastRow="0" w:firstColumn="1" w:lastColumn="0" w:noHBand="0" w:noVBand="1"/>
      </w:tblPr>
      <w:tblGrid>
        <w:gridCol w:w="417"/>
        <w:gridCol w:w="4025"/>
        <w:gridCol w:w="1276"/>
        <w:gridCol w:w="1276"/>
        <w:gridCol w:w="1276"/>
        <w:gridCol w:w="1276"/>
        <w:gridCol w:w="1276"/>
        <w:gridCol w:w="1276"/>
        <w:gridCol w:w="1276"/>
        <w:gridCol w:w="1665"/>
      </w:tblGrid>
      <w:tr>
        <w:tblPrEx/>
        <w:trPr>
          <w:trHeight w:val="362"/>
        </w:trPr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4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Целевые показатели и результаты реализации (дополнительные мощности)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gridSpan w:val="7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none" w:color="FFFFFF" w:sz="96" w:space="23"/>
            </w:tcBorders>
            <w:tcW w:w="892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Период,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66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400"/>
        </w:trPr>
        <w:tc>
          <w:tcPr>
            <w:gridSpan w:val="2"/>
            <w:tcBorders>
              <w:top w:val="none" w:color="FFFFFF" w:sz="96" w:space="23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47" w:type="auto"/>
            <w:vAlign w:val="top"/>
            <w:vMerge w:val="continue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123" w:line="259" w:lineRule="auto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center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center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center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center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center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center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center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2031-2036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FFFFFF" w:sz="96" w:space="23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4" w:type="auto"/>
            <w:vAlign w:val="top"/>
            <w:vMerge w:val="continue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123" w:line="259" w:lineRule="auto"/>
            </w:pPr>
            <w:r/>
            <w:r/>
          </w:p>
        </w:tc>
      </w:tr>
      <w:tr>
        <w:tblPrEx/>
        <w:trPr>
          <w:trHeight w:val="1208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17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0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Количество построенных или реконструированных объектов инфраструктуры водного транспорта (пристань общего пользования, судоходные гидротехнические сооружения)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center"/>
              <w:spacing w:after="123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center"/>
              <w:spacing w:after="123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center"/>
              <w:spacing w:after="123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center"/>
              <w:spacing w:after="123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center"/>
              <w:spacing w:after="123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center"/>
              <w:spacing w:after="123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center"/>
              <w:spacing w:after="123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665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center"/>
              <w:spacing w:after="123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17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0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Протяженность построенных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реконструированных автомобильных дорог, км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0,10944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1,01096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0,5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32,2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0,6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665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34,41745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228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17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0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Количество построенных или реконструированных объектов железнодорожного транспорта (железнодорожные вокзалы, железнодорожные пути необщего пользования)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665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228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17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0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Количество построенных или реконструированных объектов автомобильного транспорта (автовокзал (автостанция), транспортно-пересадочный узел)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665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228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17" w:type="dxa"/>
            <w:vAlign w:val="top"/>
            <w:vMerge w:val="restart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02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Количество построенных или реконструированных объектов авиационного транспорта (автовокзал (автостанция), транспортно-пересадочный узел)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665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10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</w:tbl>
    <w:p>
      <w:pPr>
        <w:ind w:right="0"/>
        <w:jc w:val="center"/>
        <w:spacing w:before="0" w:after="0" w:line="240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4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52"/>
        <w:numPr>
          <w:ilvl w:val="0"/>
          <w:numId w:val="40"/>
        </w:numPr>
        <w:ind w:left="0" w:right="0" w:firstLine="72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Объекты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транспортной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инфраструктуры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</w:p>
    <w:p>
      <w:pPr>
        <w:ind w:left="1069" w:right="0" w:firstLine="0"/>
        <w:jc w:val="center"/>
        <w:spacing w:before="0" w:after="0" w:line="240" w:lineRule="auto"/>
        <w:rPr>
          <w:b/>
          <w:bCs/>
          <w:sz w:val="28"/>
          <w:szCs w:val="28"/>
          <w:highlight w:val="none"/>
        </w:rPr>
      </w:pPr>
      <w:r>
        <w:rPr>
          <w:sz w:val="28"/>
          <w:szCs w:val="24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tbl>
      <w:tblPr>
        <w:tblW w:w="15106" w:type="dxa"/>
        <w:tblInd w:w="-4040" w:type="dxa"/>
        <w:tblLayout w:type="fixed"/>
        <w:tblCellMar>
          <w:left w:w="83" w:type="dxa"/>
          <w:top w:w="33" w:type="dxa"/>
          <w:right w:w="83" w:type="dxa"/>
          <w:bottom w:w="0" w:type="dxa"/>
        </w:tblCellMar>
        <w:tblLook w:val="04A0" w:firstRow="1" w:lastRow="0" w:firstColumn="1" w:lastColumn="0" w:noHBand="0" w:noVBand="1"/>
      </w:tblPr>
      <w:tblGrid>
        <w:gridCol w:w="366"/>
        <w:gridCol w:w="2126"/>
        <w:gridCol w:w="1843"/>
        <w:gridCol w:w="1984"/>
        <w:gridCol w:w="1984"/>
        <w:gridCol w:w="1276"/>
        <w:gridCol w:w="1701"/>
        <w:gridCol w:w="1842"/>
        <w:gridCol w:w="1984"/>
      </w:tblGrid>
      <w:tr>
        <w:tblPrEx/>
        <w:trPr>
          <w:trHeight w:val="277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36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Наименование объекта инфраструктуры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Местоположение объекта инфраструктуры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Ключевые мощностные характеристики объекта инфраструктуры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Сроки строительства (реконструкции) объекта инфраструктуры, в т.ч. сроки начала</w:t>
              <w:tab/>
              <w:t xml:space="preserve">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окончания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Ответственные исполнители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Объект инфраструктуры Федерального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комплексного плана,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со строительством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(реконструкцией)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которого прямо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непосредственно взаимоувязано строительство (реконструкция)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данного объекта,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и характер такой взаимоувязки (при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наличии)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Источники финансирования проекта по строительству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(реконструкции) объекта инфраструктуры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(федеральный бюджет, бюджет субъекта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Российской Федерации, бюджет муниципального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образования, внебюджетные источники и пр.) (объем финансирования указывается при наличии информации)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  <w:lang w:val="ru-RU" w:bidi="ru-RU"/>
              </w:rPr>
              <w:t xml:space="preserve">Национальные цели развития Российской Федерации,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  <w:lang w:val="ru-RU" w:bidi="ru-RU"/>
              </w:rPr>
              <w:t xml:space="preserve">для реализации которых необходим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  <w:lang w:val="ru-RU" w:bidi="ru-RU"/>
              </w:rPr>
              <w:t xml:space="preserve">объект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  <w:lang w:val="ru-RU" w:bidi="ru-RU"/>
              </w:rPr>
              <w:t xml:space="preserve">инфраструктуры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  <w:lang w:val="ru-RU" w:bidi="ru-RU"/>
              </w:rPr>
              <w:t xml:space="preserve">(проект)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366" w:type="dxa"/>
            <w:vAlign w:val="top"/>
            <w:textDirection w:val="lrTb"/>
            <w:noWrap w:val="false"/>
          </w:tcPr>
          <w:p>
            <w:pPr>
              <w:pStyle w:val="1012"/>
              <w:numPr>
                <w:ilvl w:val="0"/>
                <w:numId w:val="53"/>
              </w:numPr>
              <w:ind w:left="0" w:firstLine="0"/>
              <w:jc w:val="left"/>
              <w:spacing w:after="0" w:line="259" w:lineRule="auto"/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Аэропортовый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комплекс «Кадала»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Забайкальский край,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г. Чита,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п. Аэропорт, ул. Звёздная, д. 17.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Размер взлетно-посадочной</w:t>
            </w:r>
            <w:r>
              <w:rPr>
                <w:rFonts w:ascii="Times New Roman" w:hAnsi="Times New Roman" w:eastAsia="Times New Roman" w:cs="Times New Roman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полосы -</w:t>
            </w:r>
            <w:r>
              <w:rPr>
                <w:rFonts w:ascii="Times New Roman" w:hAnsi="Times New Roman" w:eastAsia="Times New Roman" w:cs="Times New Roman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2800 х 56 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пропускная способность - 12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взлетов-посадок в час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2025-2029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Минтранс России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123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123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  <w:lang w:val="ru-RU" w:bidi="ru-RU"/>
              </w:rPr>
              <w:t xml:space="preserve">устойчивая и динамичная экономика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366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3"/>
              </w:numPr>
              <w:ind w:left="0" w:firstLine="0"/>
              <w:suppressLineNumbers w:val="0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Благоустройство посадочных площадок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Забайкальский край</w:t>
            </w:r>
            <w:r>
              <w:rPr>
                <w:sz w:val="24"/>
                <w:szCs w:val="24"/>
                <w:lang w:val="ru-RU" w:bidi="ru-RU"/>
              </w:rPr>
              <w:t xml:space="preserve"> </w:t>
            </w:r>
            <w:r>
              <w:rPr>
                <w:sz w:val="24"/>
                <w:szCs w:val="24"/>
                <w:lang w:val="ru-RU" w:bidi="ru-RU"/>
              </w:rPr>
              <w:br/>
            </w:r>
            <w:r>
              <w:rPr>
                <w:sz w:val="24"/>
                <w:szCs w:val="24"/>
                <w:lang w:val="ru-RU" w:bidi="ru-RU"/>
              </w:rPr>
              <w:t xml:space="preserve">с.</w:t>
            </w:r>
            <w:r>
              <w:rPr>
                <w:sz w:val="24"/>
                <w:szCs w:val="24"/>
                <w:lang w:val="ru-RU" w:bidi="ru-RU"/>
              </w:rPr>
              <w:t xml:space="preserve"> </w:t>
            </w:r>
            <w:r>
              <w:rPr>
                <w:sz w:val="24"/>
                <w:szCs w:val="24"/>
                <w:lang w:val="ru-RU" w:bidi="ru-RU"/>
              </w:rPr>
              <w:t xml:space="preserve">Юмурчен, </w:t>
            </w:r>
            <w:r>
              <w:rPr>
                <w:sz w:val="24"/>
                <w:szCs w:val="24"/>
                <w:lang w:val="ru-RU" w:bidi="ru-RU"/>
              </w:rPr>
              <w:t xml:space="preserve">Усугли, Тунгокочен, Красный Яр, Усть-Каренга, Кыра, Красный Чикой, Газимурский завод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Приведение в нормативное состояние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2027-2030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Минтранс Забайкальского края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Региональный бюджет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 xml:space="preserve">Развитие </w:t>
            </w: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транспортной сети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366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3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Аэропортовый комплекс с. Чара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Забайкальский край</w:t>
            </w:r>
            <w:r>
              <w:rPr>
                <w:sz w:val="24"/>
                <w:szCs w:val="24"/>
                <w:lang w:val="ru-RU" w:bidi="ru-RU"/>
              </w:rPr>
              <w:t xml:space="preserve"> с.Чара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Размер взлетно-посадочной</w:t>
            </w:r>
            <w:r>
              <w:rPr>
                <w:lang w:val="ru-RU" w:bidi="ru-RU"/>
              </w:rPr>
            </w:r>
            <w:r>
              <w:rPr>
                <w:lang w:val="ru-RU" w:bidi="ru-RU"/>
              </w:rPr>
            </w:r>
          </w:p>
          <w:p>
            <w:pPr>
              <w:ind w:left="0" w:firstLine="0"/>
              <w:jc w:val="left"/>
              <w:spacing w:after="0" w:line="240" w:lineRule="auto"/>
              <w:rPr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полосы -</w:t>
            </w:r>
            <w:r>
              <w:rPr>
                <w:lang w:val="ru-RU" w:bidi="ru-RU"/>
              </w:rPr>
            </w:r>
            <w:r>
              <w:rPr>
                <w:lang w:val="ru-RU" w:bidi="ru-RU"/>
              </w:rPr>
            </w:r>
          </w:p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1800</w:t>
            </w:r>
            <w:r>
              <w:rPr>
                <w:sz w:val="24"/>
                <w:szCs w:val="24"/>
                <w:lang w:val="ru-RU" w:bidi="ru-RU"/>
              </w:rPr>
              <w:t xml:space="preserve"> х </w:t>
            </w:r>
            <w:r>
              <w:rPr>
                <w:sz w:val="24"/>
                <w:szCs w:val="24"/>
                <w:lang w:val="ru-RU" w:bidi="ru-RU"/>
              </w:rPr>
              <w:t xml:space="preserve">4</w:t>
            </w:r>
            <w:r>
              <w:rPr>
                <w:sz w:val="24"/>
                <w:szCs w:val="24"/>
                <w:lang w:val="ru-RU" w:bidi="ru-RU"/>
              </w:rPr>
              <w:t xml:space="preserve">0</w:t>
            </w:r>
            <w:r>
              <w:rPr>
                <w:sz w:val="24"/>
                <w:szCs w:val="24"/>
                <w:lang w:val="ru-RU" w:bidi="ru-RU"/>
              </w:rPr>
              <w:t xml:space="preserve"> м;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К</w:t>
            </w:r>
            <w:r>
              <w:rPr>
                <w:sz w:val="24"/>
                <w:szCs w:val="24"/>
                <w:lang w:val="ru-RU" w:bidi="ru-RU"/>
              </w:rPr>
              <w:t xml:space="preserve">руглосуточн</w:t>
            </w:r>
            <w:r>
              <w:rPr>
                <w:sz w:val="24"/>
                <w:szCs w:val="24"/>
                <w:lang w:val="ru-RU" w:bidi="ru-RU"/>
              </w:rPr>
              <w:t xml:space="preserve">ый р</w:t>
            </w:r>
            <w:r>
              <w:rPr>
                <w:sz w:val="24"/>
                <w:szCs w:val="24"/>
                <w:lang w:val="ru-RU" w:bidi="ru-RU"/>
              </w:rPr>
              <w:t xml:space="preserve">ежим работы </w:t>
            </w:r>
            <w:r>
              <w:rPr>
                <w:sz w:val="24"/>
                <w:szCs w:val="24"/>
                <w:lang w:val="ru-RU" w:bidi="ru-RU"/>
              </w:rPr>
              <w:t xml:space="preserve">аэропорта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20</w:t>
            </w:r>
            <w:r>
              <w:rPr>
                <w:sz w:val="24"/>
                <w:szCs w:val="24"/>
                <w:lang w:val="ru-RU" w:bidi="ru-RU"/>
              </w:rPr>
              <w:t xml:space="preserve">19</w:t>
            </w:r>
            <w:r>
              <w:rPr>
                <w:sz w:val="24"/>
                <w:szCs w:val="24"/>
                <w:lang w:val="ru-RU" w:bidi="ru-RU"/>
              </w:rPr>
              <w:t xml:space="preserve">-2028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Минтранс Забайкальского края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Федеральный бюджет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 xml:space="preserve">Развитие </w:t>
            </w: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транспортной сети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366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3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Пересадочный транспортный узел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Забайкальский край</w:t>
            </w:r>
            <w:r>
              <w:rPr>
                <w:sz w:val="24"/>
                <w:szCs w:val="24"/>
                <w:lang w:val="ru-RU" w:bidi="ru-RU"/>
              </w:rPr>
              <w:t xml:space="preserve"> город Чита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х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20</w:t>
            </w:r>
            <w:r>
              <w:rPr>
                <w:sz w:val="24"/>
                <w:szCs w:val="24"/>
                <w:lang w:val="ru-RU" w:bidi="ru-RU"/>
              </w:rPr>
              <w:t xml:space="preserve">28</w:t>
            </w:r>
            <w:r>
              <w:rPr>
                <w:sz w:val="24"/>
                <w:szCs w:val="24"/>
                <w:lang w:val="ru-RU" w:bidi="ru-RU"/>
              </w:rPr>
              <w:t xml:space="preserve">-20</w:t>
            </w:r>
            <w:r>
              <w:rPr>
                <w:sz w:val="24"/>
                <w:szCs w:val="24"/>
                <w:lang w:val="ru-RU" w:bidi="ru-RU"/>
              </w:rPr>
              <w:t xml:space="preserve">32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Администрация городского округа «Город Чита»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ОАО «РЖД»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Минтранс Забайкальского края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Федеральный бюджет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Региональный бюджет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Средства инвестора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 xml:space="preserve">Развитие </w:t>
            </w: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транспортной сети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366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3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Строительство железнодорожной станции Катугино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Забайкальский край </w:t>
            </w:r>
            <w:r>
              <w:rPr>
                <w:sz w:val="24"/>
                <w:szCs w:val="24"/>
                <w:lang w:val="ru-RU" w:bidi="ru-RU"/>
              </w:rPr>
              <w:t xml:space="preserve">Каларский район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Железнодорожная станция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2029-2030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ОАО «РЖД»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Минтранс Забайкальского края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Федеральный бюджет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Региональный бюджет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Средства инвестора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 xml:space="preserve">Развитие </w:t>
            </w: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транспортной сети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366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3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Модульное здание автостанции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Забайкальский край </w:t>
            </w:r>
            <w:r>
              <w:rPr>
                <w:sz w:val="24"/>
                <w:szCs w:val="24"/>
                <w:lang w:val="ru-RU" w:bidi="ru-RU"/>
              </w:rPr>
              <w:t xml:space="preserve">Краснокаменский муниципальный округ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Автостанция с пропускной способностью 300 пассажиров в день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2026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Минтранс Забайкальского края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Федеральный бюджет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Региональный бюджет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rFonts w:eastAsia="Arial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 xml:space="preserve">Развитие </w:t>
            </w: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транспортной сети</w:t>
            </w:r>
            <w:r>
              <w:rPr>
                <w:rFonts w:eastAsia="Arial"/>
                <w:color w:val="0f1115"/>
                <w:sz w:val="24"/>
                <w:szCs w:val="24"/>
                <w:shd w:val="clear" w:color="auto" w:fill="ffffff"/>
              </w:rPr>
            </w:r>
            <w:r>
              <w:rPr>
                <w:rFonts w:eastAsia="Arial"/>
                <w:color w:val="0f1115"/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366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3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/>
              </w:rPr>
              <w:t xml:space="preserve">Строительство автодорожного путепровода через ЗабЖД по ул. </w:t>
            </w:r>
            <w:r>
              <w:rPr>
                <w:sz w:val="24"/>
                <w:szCs w:val="24"/>
              </w:rPr>
              <w:t xml:space="preserve">Каларская в п. Антипиха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Забайкальский край, </w:t>
            </w:r>
            <w:r>
              <w:rPr>
                <w:sz w:val="24"/>
                <w:szCs w:val="24"/>
                <w:lang w:val="ru-RU"/>
              </w:rPr>
              <w:t xml:space="preserve">п. Антипиха, ул. </w:t>
            </w:r>
            <w:r>
              <w:rPr>
                <w:sz w:val="24"/>
                <w:szCs w:val="24"/>
              </w:rPr>
              <w:t xml:space="preserve">Каларская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</w:rPr>
              <w:t xml:space="preserve">0,85396</w:t>
            </w:r>
            <w:r>
              <w:rPr>
                <w:sz w:val="24"/>
                <w:szCs w:val="24"/>
                <w:lang w:val="ru-RU"/>
              </w:rPr>
              <w:t xml:space="preserve"> км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202</w:t>
            </w:r>
            <w:r>
              <w:rPr>
                <w:sz w:val="24"/>
                <w:szCs w:val="24"/>
                <w:lang w:val="ru-RU" w:bidi="ru-RU"/>
              </w:rPr>
              <w:t xml:space="preserve">6</w:t>
            </w:r>
            <w:r>
              <w:rPr>
                <w:sz w:val="24"/>
                <w:szCs w:val="24"/>
                <w:lang w:val="ru-RU" w:bidi="ru-RU"/>
              </w:rPr>
              <w:t xml:space="preserve">-202</w:t>
            </w:r>
            <w:r>
              <w:rPr>
                <w:sz w:val="24"/>
                <w:szCs w:val="24"/>
                <w:lang w:val="ru-RU" w:bidi="ru-RU"/>
              </w:rPr>
              <w:t xml:space="preserve">7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Минтранс России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Федеральный бюджет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Региональный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бюджет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 xml:space="preserve">Разгрузка дорожной сети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366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3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/>
              </w:rPr>
              <w:t xml:space="preserve">Строительство автодорожного путепровода в г. Чита, ул. </w:t>
            </w:r>
            <w:r>
              <w:rPr>
                <w:sz w:val="24"/>
                <w:szCs w:val="24"/>
              </w:rPr>
              <w:t xml:space="preserve">Ярославского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Забайкальский край, </w:t>
            </w:r>
            <w:r>
              <w:rPr>
                <w:sz w:val="24"/>
                <w:szCs w:val="24"/>
                <w:lang w:val="ru-RU"/>
              </w:rPr>
              <w:t xml:space="preserve">г. Чита, ул. </w:t>
            </w:r>
            <w:r>
              <w:rPr>
                <w:sz w:val="24"/>
                <w:szCs w:val="24"/>
              </w:rPr>
              <w:t xml:space="preserve">Ярославского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</w:rPr>
              <w:t xml:space="preserve">0,2</w:t>
            </w:r>
            <w:r>
              <w:rPr>
                <w:sz w:val="24"/>
                <w:szCs w:val="24"/>
                <w:lang w:val="ru-RU"/>
              </w:rPr>
              <w:t xml:space="preserve"> км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202</w:t>
            </w:r>
            <w:r>
              <w:rPr>
                <w:sz w:val="24"/>
                <w:szCs w:val="24"/>
                <w:lang w:val="ru-RU" w:bidi="ru-RU"/>
              </w:rPr>
              <w:t xml:space="preserve">8</w:t>
            </w:r>
            <w:r>
              <w:rPr>
                <w:sz w:val="24"/>
                <w:szCs w:val="24"/>
                <w:lang w:val="ru-RU" w:bidi="ru-RU"/>
              </w:rPr>
              <w:t xml:space="preserve">-20</w:t>
            </w:r>
            <w:r>
              <w:rPr>
                <w:sz w:val="24"/>
                <w:szCs w:val="24"/>
                <w:lang w:val="ru-RU" w:bidi="ru-RU"/>
              </w:rPr>
              <w:t xml:space="preserve">30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Минтранс России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Федеральный бюджет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 xml:space="preserve">Разгрузка дорожной сети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366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3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/>
              </w:rPr>
              <w:t xml:space="preserve">Строительство автодорожного путепровода в г. Чита, ул. </w:t>
            </w:r>
            <w:r>
              <w:rPr>
                <w:sz w:val="24"/>
                <w:szCs w:val="24"/>
              </w:rPr>
              <w:t xml:space="preserve">А. Булгакова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Забайкальский край, </w:t>
            </w:r>
            <w:r>
              <w:rPr>
                <w:sz w:val="24"/>
                <w:szCs w:val="24"/>
                <w:lang w:val="ru-RU"/>
              </w:rPr>
              <w:t xml:space="preserve">г. Чита, ул. </w:t>
            </w:r>
            <w:r>
              <w:rPr>
                <w:sz w:val="24"/>
                <w:szCs w:val="24"/>
              </w:rPr>
              <w:t xml:space="preserve">А. Булгакова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</w:rPr>
              <w:t xml:space="preserve">0,5</w:t>
            </w:r>
            <w:r>
              <w:rPr>
                <w:sz w:val="24"/>
                <w:szCs w:val="24"/>
                <w:lang w:val="ru-RU"/>
              </w:rPr>
              <w:t xml:space="preserve"> км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202</w:t>
            </w:r>
            <w:r>
              <w:rPr>
                <w:sz w:val="24"/>
                <w:szCs w:val="24"/>
                <w:lang w:val="ru-RU" w:bidi="ru-RU"/>
              </w:rPr>
              <w:t xml:space="preserve">7</w:t>
            </w:r>
            <w:r>
              <w:rPr>
                <w:sz w:val="24"/>
                <w:szCs w:val="24"/>
                <w:lang w:val="ru-RU" w:bidi="ru-RU"/>
              </w:rPr>
              <w:t xml:space="preserve">-202</w:t>
            </w:r>
            <w:r>
              <w:rPr>
                <w:sz w:val="24"/>
                <w:szCs w:val="24"/>
                <w:lang w:val="ru-RU" w:bidi="ru-RU"/>
              </w:rPr>
              <w:t xml:space="preserve">9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Минтранс России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Федеральный бюджет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Региональный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бюджет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 xml:space="preserve">Разгрузка дорожной сети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366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3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/>
              </w:rPr>
              <w:t xml:space="preserve">Строительство автодорожного путепровода через железную дорогу пгт. </w:t>
            </w:r>
            <w:r>
              <w:rPr>
                <w:sz w:val="24"/>
                <w:szCs w:val="24"/>
              </w:rPr>
              <w:t xml:space="preserve">Атамановка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Забайкальский край, </w:t>
            </w:r>
            <w:r>
              <w:rPr>
                <w:sz w:val="24"/>
                <w:szCs w:val="24"/>
                <w:lang w:val="ru-RU"/>
              </w:rPr>
              <w:t xml:space="preserve">пгт. </w:t>
            </w:r>
            <w:r>
              <w:rPr>
                <w:sz w:val="24"/>
                <w:szCs w:val="24"/>
              </w:rPr>
              <w:t xml:space="preserve">Атамановка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</w:rPr>
              <w:t xml:space="preserve">0,6</w:t>
            </w:r>
            <w:r>
              <w:rPr>
                <w:sz w:val="24"/>
                <w:szCs w:val="24"/>
                <w:lang w:val="ru-RU"/>
              </w:rPr>
              <w:t xml:space="preserve"> км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202</w:t>
            </w:r>
            <w:r>
              <w:rPr>
                <w:sz w:val="24"/>
                <w:szCs w:val="24"/>
                <w:lang w:val="ru-RU" w:bidi="ru-RU"/>
              </w:rPr>
              <w:t xml:space="preserve">9</w:t>
            </w:r>
            <w:r>
              <w:rPr>
                <w:sz w:val="24"/>
                <w:szCs w:val="24"/>
                <w:lang w:val="ru-RU" w:bidi="ru-RU"/>
              </w:rPr>
              <w:t xml:space="preserve">-20</w:t>
            </w:r>
            <w:r>
              <w:rPr>
                <w:sz w:val="24"/>
                <w:szCs w:val="24"/>
                <w:lang w:val="ru-RU" w:bidi="ru-RU"/>
              </w:rPr>
              <w:t xml:space="preserve">31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Минтранс России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Федеральный бюджет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Региональный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бюджет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 xml:space="preserve">Разгрузка дорожной сети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366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3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color w:val="0f1115"/>
                <w:sz w:val="24"/>
                <w:szCs w:val="24"/>
                <w:lang w:val="ru-RU" w:eastAsia="ru-RU"/>
              </w:rPr>
              <w:t xml:space="preserve">Строительство путепровода через ж/д на 6191–6192 км перегона Чита-</w:t>
            </w:r>
            <w:r>
              <w:rPr>
                <w:color w:val="0f1115"/>
                <w:sz w:val="24"/>
                <w:szCs w:val="24"/>
                <w:lang w:eastAsia="ru-RU"/>
              </w:rPr>
              <w:t xml:space="preserve">I</w:t>
            </w:r>
            <w:r>
              <w:rPr>
                <w:color w:val="0f1115"/>
                <w:sz w:val="24"/>
                <w:szCs w:val="24"/>
                <w:lang w:val="ru-RU" w:eastAsia="ru-RU"/>
              </w:rPr>
              <w:t xml:space="preserve"> – Кадала (по ул. </w:t>
            </w:r>
            <w:r>
              <w:rPr>
                <w:color w:val="0f1115"/>
                <w:sz w:val="24"/>
                <w:szCs w:val="24"/>
                <w:lang w:val="ru-RU" w:eastAsia="ru-RU"/>
              </w:rPr>
              <w:t xml:space="preserve">Кирпично-Заводская)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Забайкальский край, г. Чита, </w:t>
            </w:r>
            <w:r>
              <w:rPr>
                <w:color w:val="0f1115"/>
                <w:sz w:val="24"/>
                <w:szCs w:val="24"/>
                <w:lang w:val="ru-RU" w:eastAsia="ru-RU"/>
              </w:rPr>
              <w:t xml:space="preserve">ул. Кирпично-Заводская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b/>
                <w:bCs/>
                <w:sz w:val="24"/>
                <w:szCs w:val="24"/>
                <w:lang w:val="ru-RU" w:bidi="ru-RU"/>
              </w:rPr>
            </w:pP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 xml:space="preserve">0,075 км</w:t>
            </w:r>
            <w:r>
              <w:rPr>
                <w:b/>
                <w:bCs/>
                <w:sz w:val="24"/>
                <w:szCs w:val="24"/>
                <w:lang w:val="ru-RU" w:bidi="ru-RU"/>
              </w:rPr>
            </w:r>
            <w:r>
              <w:rPr>
                <w:b/>
                <w:bCs/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2024-2027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Минтранс России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Специальный казначейский кредит 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Региональный и местный бюджет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 xml:space="preserve">Развитие общественного транспорта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366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3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color w:val="0f1115"/>
                <w:sz w:val="24"/>
                <w:szCs w:val="24"/>
                <w:lang w:val="ru-RU" w:eastAsia="ru-RU"/>
              </w:rPr>
              <w:t xml:space="preserve">Строительство путепровода через неэлектрифицированные ж/д пути № 302, № 302а на станции Чита-</w:t>
            </w:r>
            <w:r>
              <w:rPr>
                <w:color w:val="0f1115"/>
                <w:sz w:val="24"/>
                <w:szCs w:val="24"/>
                <w:lang w:eastAsia="ru-RU"/>
              </w:rPr>
              <w:t xml:space="preserve">I</w:t>
            </w:r>
            <w:r>
              <w:rPr>
                <w:color w:val="0f1115"/>
                <w:sz w:val="24"/>
                <w:szCs w:val="24"/>
                <w:lang w:val="ru-RU" w:eastAsia="ru-RU"/>
              </w:rPr>
              <w:t xml:space="preserve"> (по ул. Кирпично-Заводская)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Забайкальский край, г. Чита, </w:t>
            </w:r>
            <w:r>
              <w:rPr>
                <w:color w:val="0f1115"/>
                <w:sz w:val="24"/>
                <w:szCs w:val="24"/>
                <w:lang w:val="ru-RU" w:eastAsia="ru-RU"/>
              </w:rPr>
              <w:t xml:space="preserve">ул. Кирпично-Заводская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b/>
                <w:bCs/>
                <w:sz w:val="24"/>
                <w:szCs w:val="24"/>
                <w:lang w:val="ru-RU" w:bidi="ru-RU"/>
              </w:rPr>
            </w:pP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 xml:space="preserve">0,0</w:t>
            </w: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82</w:t>
            </w: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 xml:space="preserve"> км</w:t>
            </w:r>
            <w:r>
              <w:rPr>
                <w:b/>
                <w:bCs/>
                <w:sz w:val="24"/>
                <w:szCs w:val="24"/>
                <w:lang w:val="ru-RU" w:bidi="ru-RU"/>
              </w:rPr>
            </w:r>
            <w:r>
              <w:rPr>
                <w:b/>
                <w:bCs/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2024-2027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Минтранс России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Специальный казначейский кредит 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Региональный и местный бюджет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 xml:space="preserve">Развитие общественного транспорта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366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3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/>
              </w:rPr>
              <w:t xml:space="preserve">Реконструкция моста через р. Урулюнгуй км 49+648 на автомобильной дороге 76 ОП РЗ 76К-108 Бырка -Досатуй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Забайкальский край, Приаргунский муниципальный округ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b/>
                <w:bCs/>
                <w:sz w:val="24"/>
                <w:szCs w:val="24"/>
                <w:lang w:val="ru-RU" w:bidi="ru-RU"/>
              </w:rPr>
            </w:pP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 xml:space="preserve">0,10</w:t>
            </w: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9</w:t>
            </w: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 xml:space="preserve">4</w:t>
            </w: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4</w:t>
            </w: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 xml:space="preserve"> км</w:t>
            </w:r>
            <w:r>
              <w:rPr>
                <w:b/>
                <w:bCs/>
                <w:sz w:val="24"/>
                <w:szCs w:val="24"/>
                <w:lang w:val="ru-RU" w:bidi="ru-RU"/>
              </w:rPr>
            </w:r>
            <w:r>
              <w:rPr>
                <w:b/>
                <w:bCs/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2024-2026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Минтранс России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Региональный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бюджет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Приведение дорожной сети в нормативное состояние</w:t>
            </w:r>
            <w:r>
              <w:rPr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</w:r>
            <w:r>
              <w:rPr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</w:r>
          </w:p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 xml:space="preserve">Повышение безопасности дорожного движения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366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3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Строительство автомобильной дороги в обход г. Краснокаменск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Забайкальский край, </w:t>
            </w:r>
            <w:r>
              <w:rPr>
                <w:sz w:val="24"/>
                <w:szCs w:val="24"/>
                <w:lang w:val="ru-RU"/>
              </w:rPr>
              <w:t xml:space="preserve">г. Краснокаменск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32 км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202</w:t>
            </w:r>
            <w:r>
              <w:rPr>
                <w:sz w:val="24"/>
                <w:szCs w:val="24"/>
                <w:lang w:val="ru-RU" w:bidi="ru-RU"/>
              </w:rPr>
              <w:t xml:space="preserve">8</w:t>
            </w:r>
            <w:r>
              <w:rPr>
                <w:sz w:val="24"/>
                <w:szCs w:val="24"/>
                <w:lang w:val="ru-RU" w:bidi="ru-RU"/>
              </w:rPr>
              <w:t xml:space="preserve">-20</w:t>
            </w:r>
            <w:r>
              <w:rPr>
                <w:sz w:val="24"/>
                <w:szCs w:val="24"/>
                <w:lang w:val="ru-RU" w:bidi="ru-RU"/>
              </w:rPr>
              <w:t xml:space="preserve">30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Минтранс России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Федеральный бюджет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Региональный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бюджет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Вывод транзитного транспорта</w:t>
            </w:r>
            <w:r>
              <w:rPr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</w:r>
            <w:r>
              <w:rPr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</w:r>
          </w:p>
          <w:p>
            <w:pPr>
              <w:ind w:left="0" w:firstLine="0"/>
              <w:jc w:val="left"/>
              <w:spacing w:after="0" w:line="240" w:lineRule="auto"/>
              <w:rPr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Развитие транспортной инфраструктуры</w:t>
            </w:r>
            <w:r>
              <w:rPr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</w:r>
            <w:r>
              <w:rPr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</w:r>
          </w:p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1019"/>
                <w:rFonts w:eastAsia="Arial"/>
                <w:b w:val="0"/>
                <w:bCs w:val="0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Снижение аварийности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II. Инфраструктура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образования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</w:p>
    <w:p>
      <w:pPr>
        <w:pStyle w:val="852"/>
        <w:numPr>
          <w:ilvl w:val="0"/>
          <w:numId w:val="43"/>
        </w:num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Целе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вые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пок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азатели и результаты реализации раздела II ком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плексного план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</w:p>
    <w:p>
      <w:pPr>
        <w:ind w:left="850" w:right="0" w:firstLine="0"/>
        <w:jc w:val="center"/>
        <w:spacing w:before="0" w:after="0" w:line="240" w:lineRule="auto"/>
        <w:rPr>
          <w:sz w:val="28"/>
          <w:szCs w:val="28"/>
        </w:rPr>
        <w:suppressLineNumbers w:val="0"/>
      </w:pPr>
      <w:r>
        <w:rPr>
          <w:sz w:val="28"/>
          <w:szCs w:val="24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5036" w:type="dxa"/>
        <w:tblInd w:w="-4045" w:type="dxa"/>
        <w:tblLayout w:type="autofit"/>
        <w:tblCellMar>
          <w:left w:w="43" w:type="dxa"/>
          <w:top w:w="39" w:type="dxa"/>
          <w:right w:w="88" w:type="dxa"/>
          <w:bottom w:w="0" w:type="dxa"/>
        </w:tblCellMar>
        <w:tblLook w:val="04A0" w:firstRow="1" w:lastRow="0" w:firstColumn="1" w:lastColumn="0" w:noHBand="0" w:noVBand="1"/>
      </w:tblPr>
      <w:tblGrid>
        <w:gridCol w:w="417"/>
        <w:gridCol w:w="4530"/>
        <w:gridCol w:w="1153"/>
        <w:gridCol w:w="993"/>
        <w:gridCol w:w="1135"/>
        <w:gridCol w:w="1277"/>
        <w:gridCol w:w="1276"/>
        <w:gridCol w:w="1277"/>
        <w:gridCol w:w="1560"/>
        <w:gridCol w:w="1419"/>
      </w:tblGrid>
      <w:tr>
        <w:tblPrEx/>
        <w:trPr>
          <w:trHeight w:val="400"/>
        </w:trPr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47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Целевые показатели и результаты реализации (дополнительные мощности)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gridSpan w:val="7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none" w:color="FFFFFF" w:sz="96" w:space="23"/>
            </w:tcBorders>
            <w:tcW w:w="86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Период,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41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400"/>
        </w:trPr>
        <w:tc>
          <w:tcPr>
            <w:gridSpan w:val="2"/>
            <w:tcBorders>
              <w:top w:val="none" w:color="FFFFFF" w:sz="96" w:space="23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47" w:type="auto"/>
            <w:vAlign w:val="top"/>
            <w:vMerge w:val="continue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123" w:line="259" w:lineRule="auto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5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9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6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2031 - 2036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none" w:color="FFFFFF" w:sz="96" w:space="23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419" w:type="auto"/>
            <w:vAlign w:val="top"/>
            <w:vMerge w:val="continue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123" w:line="259" w:lineRule="auto"/>
            </w:pPr>
            <w:r/>
            <w:r/>
          </w:p>
        </w:tc>
      </w:tr>
      <w:tr>
        <w:tblPrEx/>
        <w:trPr>
          <w:trHeight w:val="40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5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Перспективная численность обучающихся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5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99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35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7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7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000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60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 </w:t>
            </w:r>
            <w:r>
              <w:rPr>
                <w:sz w:val="24"/>
                <w:szCs w:val="24"/>
                <w:lang w:val="ru-RU"/>
              </w:rPr>
              <w:t xml:space="preserve">000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419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000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5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Перспективная численность мест в интернате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5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99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35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7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7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000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60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000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419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000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</w:tbl>
    <w:p>
      <w:pPr>
        <w:ind w:left="850" w:right="0" w:firstLine="0"/>
        <w:jc w:val="center"/>
        <w:spacing w:before="0" w:after="0" w:line="240" w:lineRule="auto"/>
        <w:rPr>
          <w:b/>
          <w:bCs/>
          <w:sz w:val="28"/>
          <w:szCs w:val="28"/>
          <w14:ligatures w14:val="none"/>
        </w:rPr>
      </w:pPr>
      <w:r>
        <w:rPr>
          <w:b/>
          <w:highlight w:val="none"/>
        </w:rPr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>
      <w:pPr>
        <w:pStyle w:val="852"/>
        <w:numPr>
          <w:ilvl w:val="0"/>
          <w:numId w:val="43"/>
        </w:num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Объекты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инфраструктуры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образования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</w:p>
    <w:p>
      <w:pPr>
        <w:ind w:left="0" w:right="0" w:firstLine="0"/>
        <w:jc w:val="center"/>
        <w:spacing w:before="0" w:after="0" w:line="240" w:lineRule="auto"/>
        <w:rPr>
          <w:b/>
          <w:bCs/>
          <w:sz w:val="28"/>
          <w:szCs w:val="28"/>
          <w14:ligatures w14:val="none"/>
        </w:rPr>
        <w:suppressLineNumbers w:val="0"/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tbl>
      <w:tblPr>
        <w:tblW w:w="15592" w:type="dxa"/>
        <w:tblInd w:w="-4040" w:type="dxa"/>
        <w:tblLayout w:type="fixed"/>
        <w:tblCellMar>
          <w:left w:w="83" w:type="dxa"/>
          <w:top w:w="33" w:type="dxa"/>
          <w:right w:w="83" w:type="dxa"/>
          <w:bottom w:w="0" w:type="dxa"/>
        </w:tblCellMar>
        <w:tblLook w:val="04A0" w:firstRow="1" w:lastRow="0" w:firstColumn="1" w:lastColumn="0" w:noHBand="0" w:noVBand="1"/>
      </w:tblPr>
      <w:tblGrid>
        <w:gridCol w:w="490"/>
        <w:gridCol w:w="1294"/>
        <w:gridCol w:w="1559"/>
        <w:gridCol w:w="1984"/>
        <w:gridCol w:w="2268"/>
        <w:gridCol w:w="1417"/>
        <w:gridCol w:w="2409"/>
        <w:gridCol w:w="2292"/>
        <w:gridCol w:w="1879"/>
      </w:tblGrid>
      <w:tr>
        <w:tblPrEx/>
        <w:trPr>
          <w:trHeight w:val="1648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both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12"/>
              <w:ind w:left="0" w:firstLine="0"/>
              <w:jc w:val="both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Наименование объекта инфраструктуры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Местоположение объекта инфраструктуры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Ключевые мощностные характеристики объекта инфраструктуры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2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Сроки строительства (реконструкции) объекта инфраструктуры, в т.ч. срок начала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окончания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Ответственные исполнители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4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Объект инфраструктуры Федерального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комплексного плана,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со строительством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(реконструкцией)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которого прямо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непосредственно взаимоувязано строительство (реконструкция)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данного объекта,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и характер такой взаимоувязки (при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наличии)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2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Источники финансирования проекта по строительству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(реконструкции) объекта инфраструктуры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(федеральный бюджет, бюджет субъекта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Российской Федерации, бюджет муниципального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образования, внебюджетные источники и пр.) (объем финансирования указывается при наличии информации)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Национальные цели развития Российской Федерации,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для реализации которых необходим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объект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инфраструктуры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(проект)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94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Строительство кадетского корпуса </w:t>
            </w:r>
            <w:r>
              <w:rPr>
                <w:sz w:val="24"/>
                <w:szCs w:val="24"/>
                <w:lang w:val="ru-RU"/>
              </w:rPr>
              <w:t xml:space="preserve">«</w:t>
            </w:r>
            <w:r>
              <w:rPr>
                <w:sz w:val="24"/>
                <w:szCs w:val="24"/>
                <w:lang w:val="ru-RU"/>
              </w:rPr>
              <w:t xml:space="preserve">Звезда</w:t>
            </w:r>
            <w:r>
              <w:rPr>
                <w:sz w:val="24"/>
                <w:szCs w:val="24"/>
                <w:lang w:val="ru-RU"/>
              </w:rPr>
              <w:t xml:space="preserve">»</w:t>
            </w:r>
            <w:r>
              <w:rPr>
                <w:sz w:val="24"/>
                <w:szCs w:val="24"/>
                <w:lang w:val="ru-RU"/>
              </w:rPr>
              <w:t xml:space="preserve"> на 1000 мест </w:t>
            </w:r>
            <w:r>
              <w:rPr>
                <w:color w:val="auto"/>
                <w:sz w:val="24"/>
                <w:szCs w:val="24"/>
                <w:lang w:val="ru-RU" w:eastAsia="ru-RU"/>
              </w:rPr>
            </w:r>
            <w:r>
              <w:rPr>
                <w:color w:val="auto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Забайкальский край, 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г. Чита, </w:t>
            </w:r>
            <w:r>
              <w:rPr>
                <w:sz w:val="24"/>
                <w:szCs w:val="24"/>
                <w:lang w:val="ru-RU"/>
              </w:rPr>
              <w:t xml:space="preserve">мкр.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Витимский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1000 мест 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268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202</w:t>
            </w:r>
            <w:r>
              <w:rPr>
                <w:sz w:val="24"/>
                <w:szCs w:val="24"/>
                <w:lang w:val="ru-RU"/>
              </w:rPr>
              <w:t xml:space="preserve">4</w:t>
            </w:r>
            <w:r>
              <w:rPr>
                <w:sz w:val="24"/>
                <w:szCs w:val="24"/>
                <w:lang w:val="ru-RU"/>
              </w:rPr>
              <w:t xml:space="preserve">-2030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1018"/>
              <w:jc w:val="left"/>
              <w:spacing w:before="0" w:beforeAutospacing="0" w:after="0" w:afterAutospacing="0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Минобороны России,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  <w:p>
            <w:pPr>
              <w:pStyle w:val="1018"/>
              <w:jc w:val="left"/>
              <w:spacing w:before="0" w:beforeAutospacing="0" w:after="0" w:afterAutospacing="0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Минпросвещения России,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  <w:p>
            <w:pPr>
              <w:pStyle w:val="1018"/>
              <w:jc w:val="left"/>
              <w:spacing w:before="0" w:beforeAutospacing="0" w:after="0" w:afterAutospacing="0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Минвостокразвития России,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  <w:p>
            <w:pPr>
              <w:pStyle w:val="1018"/>
              <w:jc w:val="left"/>
              <w:spacing w:before="0" w:beforeAutospacing="0" w:after="0" w:afterAutospacing="0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Правительство Забайкальского края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409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292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Не определены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Реализация </w:t>
            </w:r>
            <w:r>
              <w:rPr>
                <w:sz w:val="24"/>
                <w:szCs w:val="24"/>
                <w:lang w:val="ru-RU"/>
              </w:rPr>
              <w:t xml:space="preserve">потенциала каждого </w:t>
            </w:r>
            <w:r>
              <w:rPr>
                <w:sz w:val="24"/>
                <w:szCs w:val="24"/>
                <w:lang w:val="ru-RU"/>
              </w:rPr>
              <w:t xml:space="preserve">человека,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развитие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его талантов, воспитание патриотичной и социально ответственной личности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9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  <w:t xml:space="preserve">Межвузовский кампус «Даурия»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Забайкальский край, 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г. Чита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5000 мест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2030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1018"/>
              <w:jc w:val="left"/>
              <w:spacing w:before="0" w:beforeAutospacing="0" w:after="0" w:afterAutospacing="0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t xml:space="preserve">Минобрнауки России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292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Региональный бюджет, Внебюджетные источники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/>
                <w14:ligatures w14:val="none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  <w14:ligatures w14:val="none"/>
              </w:rPr>
            </w:r>
            <w:r>
              <w:rPr>
                <w:sz w:val="24"/>
                <w:szCs w:val="24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Реализация </w:t>
            </w:r>
            <w:r>
              <w:rPr>
                <w:sz w:val="24"/>
                <w:szCs w:val="24"/>
                <w:lang w:val="ru-RU"/>
              </w:rPr>
              <w:t xml:space="preserve">потенциала каждого </w:t>
            </w:r>
            <w:r>
              <w:rPr>
                <w:sz w:val="24"/>
                <w:szCs w:val="24"/>
                <w:lang w:val="ru-RU"/>
              </w:rPr>
              <w:t xml:space="preserve">человека,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развитие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его талантов, воспитание патриотичной и социально ответственной личности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</w:tbl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</w:p>
    <w:p>
      <w:pPr>
        <w:ind w:left="719" w:right="708" w:hanging="10"/>
        <w:jc w:val="center"/>
        <w:spacing w:after="172" w:line="268" w:lineRule="auto"/>
        <w:rPr>
          <w:sz w:val="28"/>
          <w:szCs w:val="24"/>
          <w:lang w:val="ru-RU"/>
        </w:rPr>
      </w:pPr>
      <w:r>
        <w:rPr>
          <w:b/>
          <w:bCs/>
          <w:sz w:val="28"/>
          <w:szCs w:val="28"/>
          <w:lang w:val="ru-RU"/>
        </w:rPr>
        <w:t xml:space="preserve">III. Инфраструктура </w:t>
      </w:r>
      <w:r>
        <w:rPr>
          <w:b/>
          <w:bCs/>
          <w:sz w:val="28"/>
          <w:szCs w:val="28"/>
          <w:lang w:val="ru-RU"/>
        </w:rPr>
        <w:t xml:space="preserve">культ</w:t>
      </w:r>
      <w:r>
        <w:rPr>
          <w:b/>
          <w:sz w:val="28"/>
          <w:szCs w:val="24"/>
          <w:lang w:val="ru-RU"/>
        </w:rPr>
        <w:t xml:space="preserve">уры</w:t>
      </w:r>
      <w:r>
        <w:rPr>
          <w:sz w:val="28"/>
          <w:szCs w:val="24"/>
          <w:lang w:val="ru-RU"/>
        </w:rPr>
      </w:r>
      <w:r>
        <w:rPr>
          <w:sz w:val="28"/>
          <w:szCs w:val="24"/>
          <w:lang w:val="ru-RU"/>
        </w:rPr>
      </w:r>
    </w:p>
    <w:p>
      <w:pPr>
        <w:numPr>
          <w:ilvl w:val="0"/>
          <w:numId w:val="51"/>
        </w:numPr>
        <w:ind w:right="354" w:firstLine="0"/>
        <w:jc w:val="center"/>
        <w:spacing w:after="0" w:line="268" w:lineRule="auto"/>
        <w:rPr>
          <w:sz w:val="28"/>
          <w:szCs w:val="28"/>
          <w:lang w:val="ru-RU"/>
        </w:rPr>
      </w:pPr>
      <w:r>
        <w:rPr>
          <w:b/>
          <w:sz w:val="28"/>
          <w:szCs w:val="24"/>
          <w:lang w:val="ru-RU"/>
        </w:rPr>
        <w:t xml:space="preserve">Целевые показатели и результаты реализации</w:t>
      </w:r>
      <w:r>
        <w:rPr>
          <w:b/>
          <w:sz w:val="28"/>
          <w:szCs w:val="24"/>
          <w:lang w:val="ru-RU"/>
        </w:rPr>
        <w:t xml:space="preserve"> </w:t>
      </w:r>
      <w:r>
        <w:rPr>
          <w:b/>
          <w:sz w:val="28"/>
          <w:szCs w:val="24"/>
          <w:lang w:val="ru-RU"/>
        </w:rPr>
        <w:t xml:space="preserve">раздела комплексного плана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left="1035" w:right="354" w:firstLine="0"/>
        <w:jc w:val="center"/>
        <w:spacing w:after="0" w:line="268" w:lineRule="auto"/>
        <w:rPr>
          <w:sz w:val="28"/>
          <w:szCs w:val="28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tbl>
      <w:tblPr>
        <w:tblW w:w="15037" w:type="dxa"/>
        <w:tblInd w:w="-4045" w:type="dxa"/>
        <w:tblLayout w:type="fixed"/>
        <w:tblCellMar>
          <w:left w:w="43" w:type="dxa"/>
          <w:right w:w="88" w:type="dxa"/>
        </w:tblCellMar>
        <w:tblLook w:val="04A0" w:firstRow="1" w:lastRow="0" w:firstColumn="1" w:lastColumn="0" w:noHBand="0" w:noVBand="1"/>
      </w:tblPr>
      <w:tblGrid>
        <w:gridCol w:w="417"/>
        <w:gridCol w:w="4530"/>
        <w:gridCol w:w="1153"/>
        <w:gridCol w:w="993"/>
        <w:gridCol w:w="1135"/>
        <w:gridCol w:w="1277"/>
        <w:gridCol w:w="1135"/>
        <w:gridCol w:w="1276"/>
        <w:gridCol w:w="1596"/>
        <w:gridCol w:w="1525"/>
      </w:tblGrid>
      <w:tr>
        <w:tblPrEx/>
        <w:trPr>
          <w:trHeight w:val="400"/>
        </w:trPr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47" w:type="dxa"/>
            <w:vMerge w:val="restart"/>
            <w:textDirection w:val="lrTb"/>
            <w:noWrap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Целевые показатели и результаты реализации (дополнительные мощности)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gridSpan w:val="7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8565" w:type="dxa"/>
            <w:vAlign w:val="center"/>
            <w:textDirection w:val="lrTb"/>
            <w:noWrap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Период,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25" w:type="dxa"/>
            <w:vAlign w:val="center"/>
            <w:vMerge w:val="restart"/>
            <w:textDirection w:val="lrTb"/>
            <w:noWrap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gridSpan w:val="2"/>
            <w:tcBorders>
              <w:top w:val="none" w:color="FFFFFF" w:sz="96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0" w:type="auto"/>
            <w:vMerge w:val="continue"/>
            <w:textDirection w:val="lrTb"/>
            <w:noWrap/>
          </w:tcPr>
          <w:p>
            <w:pPr>
              <w:ind w:left="0" w:firstLine="0"/>
              <w:jc w:val="left"/>
              <w:spacing w:after="123" w:line="259" w:lineRule="auto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53" w:type="dxa"/>
            <w:vAlign w:val="center"/>
            <w:textDirection w:val="lrTb"/>
            <w:noWrap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993" w:type="dxa"/>
            <w:vAlign w:val="center"/>
            <w:textDirection w:val="lrTb"/>
            <w:noWrap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35" w:type="dxa"/>
            <w:vAlign w:val="center"/>
            <w:textDirection w:val="lrTb"/>
            <w:noWrap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7" w:type="dxa"/>
            <w:vAlign w:val="center"/>
            <w:textDirection w:val="lrTb"/>
            <w:noWrap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35" w:type="dxa"/>
            <w:vAlign w:val="center"/>
            <w:textDirection w:val="lrTb"/>
            <w:noWrap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center"/>
            <w:textDirection w:val="lrTb"/>
            <w:noWrap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6" w:type="dxa"/>
            <w:vAlign w:val="center"/>
            <w:textDirection w:val="lrTb"/>
            <w:noWrap/>
          </w:tcPr>
          <w:p>
            <w:pPr>
              <w:ind w:left="0" w:firstLine="0"/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2031 - 2036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FFFFFF" w:sz="96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0" w:type="auto"/>
            <w:vAlign w:val="center"/>
            <w:vMerge w:val="continue"/>
            <w:textDirection w:val="lrTb"/>
            <w:noWrap/>
          </w:tcPr>
          <w:p>
            <w:pPr>
              <w:ind w:left="0" w:firstLine="0"/>
              <w:jc w:val="center"/>
              <w:spacing w:after="0" w:line="240" w:lineRule="auto"/>
            </w:pPr>
            <w:r/>
            <w:r/>
          </w:p>
        </w:tc>
      </w:tr>
      <w:tr>
        <w:tblPrEx/>
        <w:trPr>
          <w:trHeight w:val="63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17" w:type="dxa"/>
            <w:textDirection w:val="lrTb"/>
            <w:noWrap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530" w:type="dxa"/>
            <w:textDirection w:val="lrTb"/>
            <w:noWrap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Количество построенных и реконструированных объектов, ед.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53" w:type="dxa"/>
            <w:vAlign w:val="center"/>
            <w:textDirection w:val="lrTb"/>
            <w:noWrap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993" w:type="dxa"/>
            <w:vAlign w:val="center"/>
            <w:textDirection w:val="lrTb"/>
            <w:noWrap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35" w:type="dxa"/>
            <w:vAlign w:val="center"/>
            <w:textDirection w:val="lrTb"/>
            <w:noWrap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7" w:type="dxa"/>
            <w:vAlign w:val="center"/>
            <w:textDirection w:val="lrTb"/>
            <w:noWrap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35" w:type="dxa"/>
            <w:vAlign w:val="center"/>
            <w:textDirection w:val="lrTb"/>
            <w:noWrap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center"/>
            <w:textDirection w:val="lrTb"/>
            <w:noWrap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6" w:type="dxa"/>
            <w:vAlign w:val="center"/>
            <w:textDirection w:val="lrTb"/>
            <w:noWrap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25" w:type="dxa"/>
            <w:vAlign w:val="center"/>
            <w:textDirection w:val="lrTb"/>
            <w:noWrap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</w:tbl>
    <w:p>
      <w:pPr>
        <w:ind w:left="969" w:right="709" w:firstLine="0"/>
        <w:jc w:val="center"/>
        <w:spacing w:after="0" w:line="268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ind w:left="969" w:right="709" w:firstLine="0"/>
        <w:jc w:val="center"/>
        <w:spacing w:after="0" w:line="268" w:lineRule="auto"/>
        <w:rPr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 xml:space="preserve">2.</w:t>
      </w:r>
      <w:r>
        <w:rPr>
          <w:b/>
          <w:sz w:val="28"/>
          <w:szCs w:val="24"/>
          <w:lang w:val="ru-RU"/>
        </w:rPr>
        <w:tab/>
      </w:r>
      <w:r>
        <w:rPr>
          <w:b/>
          <w:sz w:val="28"/>
          <w:szCs w:val="24"/>
          <w:lang w:val="ru-RU"/>
        </w:rPr>
        <w:t xml:space="preserve">Объекты инфраструктуры </w:t>
      </w:r>
      <w:r>
        <w:rPr>
          <w:b/>
          <w:sz w:val="28"/>
          <w:szCs w:val="24"/>
          <w:lang w:val="ru-RU"/>
        </w:rPr>
        <w:t xml:space="preserve">культуры</w:t>
      </w:r>
      <w:r>
        <w:rPr>
          <w:sz w:val="28"/>
          <w:szCs w:val="24"/>
          <w:lang w:val="ru-RU"/>
        </w:rPr>
      </w:r>
      <w:r>
        <w:rPr>
          <w:sz w:val="28"/>
          <w:szCs w:val="24"/>
          <w:lang w:val="ru-RU"/>
        </w:rPr>
      </w:r>
    </w:p>
    <w:tbl>
      <w:tblPr>
        <w:tblW w:w="15532" w:type="dxa"/>
        <w:tblInd w:w="-4040" w:type="dxa"/>
        <w:tblLayout w:type="fixed"/>
        <w:tblCellMar>
          <w:left w:w="83" w:type="dxa"/>
          <w:top w:w="33" w:type="dxa"/>
          <w:right w:w="83" w:type="dxa"/>
        </w:tblCellMar>
        <w:tblLook w:val="04A0" w:firstRow="1" w:lastRow="0" w:firstColumn="1" w:lastColumn="0" w:noHBand="0" w:noVBand="1"/>
      </w:tblPr>
      <w:tblGrid>
        <w:gridCol w:w="490"/>
        <w:gridCol w:w="1879"/>
        <w:gridCol w:w="1941"/>
        <w:gridCol w:w="1880"/>
        <w:gridCol w:w="1939"/>
        <w:gridCol w:w="1764"/>
        <w:gridCol w:w="1670"/>
        <w:gridCol w:w="2291"/>
        <w:gridCol w:w="1678"/>
      </w:tblGrid>
      <w:tr>
        <w:tblPrEx/>
        <w:trPr>
          <w:trHeight w:val="277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textDirection w:val="lrTb"/>
            <w:noWrap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№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п/п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textDirection w:val="lrTb"/>
            <w:noWrap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Наименование объекта инфраструктуры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textDirection w:val="lrTb"/>
            <w:noWrap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Местоположение объекта инфраструктуры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80" w:type="dxa"/>
            <w:textDirection w:val="lrTb"/>
            <w:noWrap/>
          </w:tcPr>
          <w:p>
            <w:pPr>
              <w:ind w:left="0" w:right="1" w:firstLine="0"/>
              <w:jc w:val="left"/>
              <w:spacing w:after="0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Ключевые мощностные характеристики объекта инфраструктуры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textDirection w:val="lrTb"/>
            <w:noWrap/>
          </w:tcPr>
          <w:p>
            <w:pPr>
              <w:ind w:left="0" w:firstLine="0"/>
              <w:jc w:val="left"/>
              <w:spacing w:after="0" w:line="244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Сроки </w:t>
            </w:r>
            <w:r>
              <w:rPr>
                <w:sz w:val="24"/>
                <w:szCs w:val="24"/>
                <w:lang w:val="ru-RU"/>
              </w:rPr>
              <w:t xml:space="preserve">строительства (реконструкции) объекта инфраструктуры, в т.ч. срок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начала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окончания строительства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64" w:type="dxa"/>
            <w:textDirection w:val="lrTb"/>
            <w:noWrap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 исполнители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670" w:type="dxa"/>
            <w:textDirection w:val="lrTb"/>
            <w:noWrap/>
          </w:tcPr>
          <w:p>
            <w:pPr>
              <w:ind w:left="0" w:firstLine="0"/>
              <w:jc w:val="left"/>
              <w:spacing w:after="0" w:line="238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Объект инфраструктуры Федерального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комплексного плана,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строительством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(реконструкцией)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которого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прямо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непосредственно взаимоувязано строительство (реконструкция)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данного объекта,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 характер такой взаимоувязки </w:t>
            </w:r>
            <w:r>
              <w:rPr>
                <w:sz w:val="24"/>
                <w:szCs w:val="24"/>
                <w:lang w:val="ru-RU"/>
              </w:rPr>
              <w:t xml:space="preserve">(при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наличии)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291" w:type="dxa"/>
            <w:textDirection w:val="lrTb"/>
            <w:noWrap/>
          </w:tcPr>
          <w:p>
            <w:pPr>
              <w:ind w:left="0" w:firstLine="0"/>
              <w:jc w:val="left"/>
              <w:spacing w:after="0" w:line="247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Исто</w:t>
            </w:r>
            <w:r>
              <w:rPr>
                <w:sz w:val="24"/>
                <w:szCs w:val="24"/>
                <w:lang w:val="ru-RU"/>
              </w:rPr>
              <w:t xml:space="preserve">чники финансирования проекта по </w:t>
            </w:r>
            <w:r>
              <w:rPr>
                <w:sz w:val="24"/>
                <w:szCs w:val="24"/>
                <w:lang w:val="ru-RU"/>
              </w:rPr>
              <w:t xml:space="preserve">строительству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(реконструкции) объекта инфраструктуры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(федеральный бюджет, бюджет субъекта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Российской Федерации, бюджет муниципального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образования, внебюджетные источники и пр.) (объем финансирования указывается при наличии информации)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678" w:type="dxa"/>
            <w:textDirection w:val="lrTb"/>
            <w:noWrap/>
          </w:tcPr>
          <w:p>
            <w:pPr>
              <w:ind w:left="0" w:firstLine="0"/>
              <w:spacing w:after="1" w:line="254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Национальные цели развития Российской Федерации,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для реализации которых необходим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объект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инфраструктуры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(проект)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textDirection w:val="lrTb"/>
            <w:noWrap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textDirection w:val="lrTb"/>
            <w:noWrap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Музейно-историческ</w:t>
            </w:r>
            <w:r>
              <w:rPr>
                <w:sz w:val="24"/>
                <w:szCs w:val="24"/>
                <w:lang w:val="ru-RU"/>
              </w:rPr>
              <w:t xml:space="preserve">ий</w:t>
            </w:r>
            <w:r>
              <w:rPr>
                <w:sz w:val="24"/>
                <w:szCs w:val="24"/>
                <w:lang w:val="ru-RU"/>
              </w:rPr>
              <w:t xml:space="preserve"> комплекс 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textDirection w:val="lrTb"/>
            <w:noWrap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г. Чита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80" w:type="dxa"/>
            <w:vAlign w:val="top"/>
            <w:textDirection w:val="lrTb"/>
            <w:noWrap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экспозиционн</w:t>
            </w:r>
            <w:r>
              <w:rPr>
                <w:sz w:val="24"/>
                <w:szCs w:val="24"/>
                <w:lang w:val="ru-RU"/>
              </w:rPr>
              <w:t xml:space="preserve">ая</w:t>
            </w:r>
            <w:r>
              <w:rPr>
                <w:sz w:val="24"/>
                <w:szCs w:val="24"/>
                <w:lang w:val="ru-RU"/>
              </w:rPr>
              <w:t xml:space="preserve"> площадь 5948 кв. 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textDirection w:val="lrTb"/>
            <w:noWrap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2027 - </w:t>
            </w:r>
            <w:r>
              <w:rPr>
                <w:sz w:val="24"/>
                <w:szCs w:val="24"/>
                <w:lang w:val="ru-RU"/>
              </w:rPr>
              <w:t xml:space="preserve">2028 г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64" w:type="dxa"/>
            <w:vAlign w:val="top"/>
            <w:textDirection w:val="lrTb"/>
            <w:noWrap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Министерство культуры Забайкальского края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670" w:type="dxa"/>
            <w:vAlign w:val="top"/>
            <w:textDirection w:val="lrTb"/>
            <w:noWrap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291" w:type="dxa"/>
            <w:vAlign w:val="top"/>
            <w:textDirection w:val="lrTb"/>
            <w:noWrap/>
          </w:tcPr>
          <w:p>
            <w:pPr>
              <w:ind w:left="0" w:firstLine="0"/>
              <w:jc w:val="left"/>
              <w:spacing w:after="0" w:afterAutospacing="0" w:line="259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7</w:t>
            </w:r>
            <w:r>
              <w:rPr>
                <w:szCs w:val="28"/>
              </w:rPr>
              <w:t xml:space="preserve"> </w:t>
            </w:r>
            <w:r>
              <w:rPr>
                <w:szCs w:val="28"/>
                <w:lang w:val="ru-RU"/>
              </w:rPr>
              <w:t xml:space="preserve">331,5</w:t>
            </w:r>
            <w:r>
              <w:rPr>
                <w:szCs w:val="28"/>
                <w:lang w:val="ru-RU"/>
              </w:rPr>
              <w:t xml:space="preserve"> млн. руб., в том числе:</w:t>
            </w:r>
            <w:r>
              <w:rPr>
                <w:szCs w:val="28"/>
                <w:lang w:val="ru-RU"/>
              </w:rPr>
            </w:r>
            <w:r>
              <w:rPr>
                <w:szCs w:val="28"/>
                <w:lang w:val="ru-RU"/>
              </w:rPr>
            </w:r>
          </w:p>
          <w:p>
            <w:pPr>
              <w:ind w:left="0" w:firstLine="0"/>
              <w:jc w:val="left"/>
              <w:spacing w:after="0" w:afterAutospacing="0" w:line="259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средства федерального бюджета – 2</w:t>
            </w:r>
            <w:r>
              <w:rPr>
                <w:szCs w:val="28"/>
              </w:rPr>
              <w:t xml:space="preserve"> </w:t>
            </w:r>
            <w:r>
              <w:rPr>
                <w:szCs w:val="28"/>
                <w:lang w:val="ru-RU"/>
              </w:rPr>
              <w:t xml:space="preserve">918,7</w:t>
            </w:r>
            <w:r>
              <w:rPr>
                <w:szCs w:val="28"/>
                <w:lang w:val="ru-RU"/>
              </w:rPr>
              <w:t xml:space="preserve"> млн. руб.</w:t>
            </w:r>
            <w:r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  <w:lang w:val="ru-RU"/>
              </w:rPr>
            </w:r>
            <w:r>
              <w:rPr>
                <w:szCs w:val="28"/>
                <w:lang w:val="ru-RU"/>
              </w:rPr>
            </w:r>
          </w:p>
          <w:p>
            <w:pPr>
              <w:ind w:left="0" w:firstLine="0"/>
              <w:jc w:val="left"/>
              <w:spacing w:after="0" w:afterAutospacing="0" w:line="259" w:lineRule="auto"/>
              <w:rPr>
                <w:sz w:val="24"/>
                <w:szCs w:val="24"/>
                <w:lang w:val="ru-RU"/>
              </w:rPr>
            </w:pPr>
            <w:r>
              <w:rPr>
                <w:szCs w:val="28"/>
                <w:lang w:val="ru-RU"/>
              </w:rPr>
              <w:t xml:space="preserve">краевого бюджета – 4</w:t>
            </w:r>
            <w:r>
              <w:rPr>
                <w:szCs w:val="28"/>
              </w:rPr>
              <w:t xml:space="preserve"> </w:t>
            </w:r>
            <w:r>
              <w:rPr>
                <w:szCs w:val="28"/>
                <w:lang w:val="ru-RU"/>
              </w:rPr>
              <w:t xml:space="preserve">412,8 млн. руб.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678" w:type="dxa"/>
            <w:vAlign w:val="top"/>
            <w:textDirection w:val="lrTb"/>
            <w:noWrap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</w:t>
            </w:r>
            <w:r>
              <w:rPr>
                <w:sz w:val="24"/>
                <w:szCs w:val="24"/>
                <w:lang w:val="ru-RU"/>
              </w:rPr>
              <w:t xml:space="preserve">ализация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потенциала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каждого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человека, развитие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его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талантов, воспитание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патриотичной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социально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ответственной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личности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</w:tbl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IV. Инфраструктура здравоохранения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</w:p>
    <w:p>
      <w:pPr>
        <w:pStyle w:val="852"/>
        <w:numPr>
          <w:ilvl w:val="0"/>
          <w:numId w:val="44"/>
        </w:num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Целевые показатели и результаты реализации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раздела III комплексного плана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</w:p>
    <w:tbl>
      <w:tblPr>
        <w:tblW w:w="15036" w:type="dxa"/>
        <w:tblInd w:w="-4045" w:type="dxa"/>
        <w:tblLayout w:type="fixed"/>
        <w:tblCellMar>
          <w:left w:w="43" w:type="dxa"/>
          <w:top w:w="39" w:type="dxa"/>
          <w:right w:w="88" w:type="dxa"/>
          <w:bottom w:w="0" w:type="dxa"/>
        </w:tblCellMar>
        <w:tblLook w:val="04A0" w:firstRow="1" w:lastRow="0" w:firstColumn="1" w:lastColumn="0" w:noHBand="0" w:noVBand="1"/>
      </w:tblPr>
      <w:tblGrid>
        <w:gridCol w:w="417"/>
        <w:gridCol w:w="4530"/>
        <w:gridCol w:w="1153"/>
        <w:gridCol w:w="993"/>
        <w:gridCol w:w="1135"/>
        <w:gridCol w:w="1277"/>
        <w:gridCol w:w="1135"/>
        <w:gridCol w:w="1172"/>
        <w:gridCol w:w="1381"/>
        <w:gridCol w:w="1844"/>
      </w:tblGrid>
      <w:tr>
        <w:tblPrEx/>
        <w:trPr>
          <w:trHeight w:val="400"/>
        </w:trPr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4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Целевые показатели и результаты реализации (дополнительные мощности)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gridSpan w:val="7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none" w:color="FFFFFF" w:sz="96" w:space="23"/>
            </w:tcBorders>
            <w:tcW w:w="824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Период,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400"/>
        </w:trPr>
        <w:tc>
          <w:tcPr>
            <w:gridSpan w:val="2"/>
            <w:tcBorders>
              <w:top w:val="none" w:color="FFFFFF" w:sz="96" w:space="23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47" w:type="auto"/>
            <w:vAlign w:val="top"/>
            <w:vMerge w:val="continue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123" w:line="259" w:lineRule="auto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5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9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7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8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2031 - 2036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none" w:color="FFFFFF" w:sz="96" w:space="23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4" w:type="auto"/>
            <w:vAlign w:val="top"/>
            <w:vMerge w:val="continue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123" w:line="259" w:lineRule="auto"/>
            </w:pPr>
            <w:r/>
            <w:r/>
          </w:p>
        </w:tc>
      </w:tr>
      <w:tr>
        <w:tblPrEx/>
        <w:trPr>
          <w:trHeight w:val="63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5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Количество построенных и реконструированных объектов, ед.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5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99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35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7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35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72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81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center"/>
              <w:spacing w:after="123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5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Коечная мощность построенных и реконструированных объектов, коек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5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99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35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7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35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472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72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81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123" w:line="259" w:lineRule="auto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center"/>
              <w:spacing w:after="123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472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left="1035" w:right="354" w:firstLine="0"/>
        <w:jc w:val="left"/>
        <w:spacing w:after="0"/>
      </w:pPr>
      <w:r>
        <w:rPr>
          <w:b/>
          <w:highlight w:val="none"/>
        </w:rPr>
      </w:r>
      <w:r>
        <w:rPr>
          <w:b/>
          <w:highlight w:val="none"/>
        </w:rPr>
      </w:r>
      <w:r/>
    </w:p>
    <w:p>
      <w:pPr>
        <w:pStyle w:val="852"/>
        <w:numPr>
          <w:ilvl w:val="0"/>
          <w:numId w:val="44"/>
        </w:numPr>
        <w:ind w:left="0" w:right="0" w:firstLine="0"/>
        <w:jc w:val="center"/>
        <w:spacing w:before="0" w:after="0" w:line="240" w:lineRule="auto"/>
        <w:rPr>
          <w:sz w:val="28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Объекты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инфраструктуры здравоохранения</w:t>
      </w:r>
      <w:r>
        <w:rPr>
          <w:sz w:val="28"/>
          <w:szCs w:val="24"/>
        </w:rPr>
      </w:r>
      <w:r>
        <w:rPr>
          <w:sz w:val="28"/>
          <w:szCs w:val="24"/>
        </w:rPr>
      </w:r>
    </w:p>
    <w:tbl>
      <w:tblPr>
        <w:tblW w:w="15592" w:type="dxa"/>
        <w:tblInd w:w="-4040" w:type="dxa"/>
        <w:tblLayout w:type="fixed"/>
        <w:tblCellMar>
          <w:left w:w="83" w:type="dxa"/>
          <w:top w:w="33" w:type="dxa"/>
          <w:right w:w="83" w:type="dxa"/>
          <w:bottom w:w="0" w:type="dxa"/>
        </w:tblCellMar>
        <w:tblLook w:val="04A0" w:firstRow="1" w:lastRow="0" w:firstColumn="1" w:lastColumn="0" w:noHBand="0" w:noVBand="1"/>
      </w:tblPr>
      <w:tblGrid>
        <w:gridCol w:w="490"/>
        <w:gridCol w:w="1879"/>
        <w:gridCol w:w="1941"/>
        <w:gridCol w:w="1879"/>
        <w:gridCol w:w="1939"/>
        <w:gridCol w:w="1309"/>
        <w:gridCol w:w="2126"/>
        <w:gridCol w:w="2150"/>
        <w:gridCol w:w="1879"/>
      </w:tblGrid>
      <w:tr>
        <w:tblPrEx/>
        <w:trPr>
          <w:trHeight w:val="277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Наименование объекта инфраструктуры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Местоположение объекта инфраструктуры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Ключевые мощностные характеристики объекта инфраструктуры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Сроки строительства (реконструкции)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объекта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инфраструктуры, в т.ч. срок начала</w:t>
              <w:tab/>
              <w:t xml:space="preserve">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окончания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Ответственные исполнители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Объект инфраструктуры Федерального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комплексного плана,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со строительством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(реконструкцией)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которого прямо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непосредственно взаимоувязано строительство (реконструкция)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данного объекта,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и характер такой взаимоувязки (при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наличии)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5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Источники финансирования проекта по строительству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(реконструкции) объекта инфраструктуры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(федеральный бюджет, бюджет субъекта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Российской Федерации, бюджет муниципального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образования, внебюджетные источники и пр.) (объем финансирования указывается при наличии информации)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Национальные цели развития Российской Федерации,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для реализации которых необходим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объект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инфраструктуры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(проект)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Краевая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детская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клиническая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больница в г.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Чите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Забайкальский край, г. Чита, ул. Коханского, 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472 койко-мест/ 250 посещений в смену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2020-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Министерство здравоохранения Забайкальского края,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Министерство строительства Забайкальского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5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7 866 518,8 тыс. рублей, в том числе федеральный бюджет - 7 073 856,1 тыс. рублей,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бюджет Забайкальского края - 792 662,7 тыс. рублей (с учетом затрат на подготовку ПСД)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Сохранение населения, укрепление здоровья и повышение благополучия людей, поддержка семьи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</w:tbl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V. Инфраструктура физической культуры и спорта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</w:p>
    <w:p>
      <w:pPr>
        <w:pStyle w:val="852"/>
        <w:numPr>
          <w:ilvl w:val="0"/>
          <w:numId w:val="45"/>
        </w:num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Целевые показатели 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результаты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реализации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раздела IV комплексного плана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</w:p>
    <w:p>
      <w:pPr>
        <w:ind w:left="709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</w:p>
    <w:tbl>
      <w:tblPr>
        <w:tblW w:w="15036" w:type="dxa"/>
        <w:tblInd w:w="-4045" w:type="dxa"/>
        <w:tblLayout w:type="fixed"/>
        <w:tblCellMar>
          <w:left w:w="43" w:type="dxa"/>
          <w:top w:w="39" w:type="dxa"/>
          <w:right w:w="88" w:type="dxa"/>
          <w:bottom w:w="0" w:type="dxa"/>
        </w:tblCellMar>
        <w:tblLook w:val="04A0" w:firstRow="1" w:lastRow="0" w:firstColumn="1" w:lastColumn="0" w:noHBand="0" w:noVBand="1"/>
      </w:tblPr>
      <w:tblGrid>
        <w:gridCol w:w="426"/>
        <w:gridCol w:w="3732"/>
        <w:gridCol w:w="1291"/>
        <w:gridCol w:w="1291"/>
        <w:gridCol w:w="1291"/>
        <w:gridCol w:w="1291"/>
        <w:gridCol w:w="1291"/>
        <w:gridCol w:w="1291"/>
        <w:gridCol w:w="1753"/>
        <w:gridCol w:w="1382"/>
      </w:tblGrid>
      <w:tr>
        <w:tblPrEx/>
        <w:trPr>
          <w:trHeight w:val="400"/>
        </w:trPr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15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Целевые показатели и результаты реализации (дополнительные мощности)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gridSpan w:val="7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none" w:color="FFFFFF" w:sz="96" w:space="23"/>
            </w:tcBorders>
            <w:tcW w:w="949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Период,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8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400"/>
        </w:trPr>
        <w:tc>
          <w:tcPr>
            <w:gridSpan w:val="2"/>
            <w:tcBorders>
              <w:top w:val="none" w:color="FFFFFF" w:sz="96" w:space="23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47" w:type="auto"/>
            <w:vAlign w:val="top"/>
            <w:vMerge w:val="continue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123" w:line="259" w:lineRule="auto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5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2031 - 2036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none" w:color="FFFFFF" w:sz="96" w:space="23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4" w:type="auto"/>
            <w:vAlign w:val="top"/>
            <w:vMerge w:val="continue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123" w:line="259" w:lineRule="auto"/>
            </w:pPr>
            <w:r/>
            <w:r/>
          </w:p>
        </w:tc>
      </w:tr>
      <w:tr>
        <w:tblPrEx/>
        <w:trPr>
          <w:trHeight w:val="8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373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Количество построенных и реконструируемых объектов, ед.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5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8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63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373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Площадь строящихся и реконструированных объектов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36 597,5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5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8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36 597,5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</w:tbl>
    <w:p>
      <w:pPr>
        <w:ind w:left="0" w:right="354" w:firstLine="0"/>
        <w:jc w:val="left"/>
        <w:spacing w:after="0"/>
        <w:rPr>
          <w:sz w:val="28"/>
          <w:szCs w:val="28"/>
        </w:rPr>
      </w:pPr>
      <w:r>
        <w:rPr>
          <w:b/>
          <w:sz w:val="28"/>
          <w:szCs w:val="24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2"/>
        <w:numPr>
          <w:ilvl w:val="0"/>
          <w:numId w:val="45"/>
        </w:num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бъекты инфраструктуры физической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культуры и спорта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</w:p>
    <w:tbl>
      <w:tblPr>
        <w:tblW w:w="15593" w:type="dxa"/>
        <w:tblInd w:w="-4040" w:type="dxa"/>
        <w:tblLayout w:type="fixed"/>
        <w:tblCellMar>
          <w:left w:w="83" w:type="dxa"/>
          <w:top w:w="33" w:type="dxa"/>
          <w:right w:w="83" w:type="dxa"/>
          <w:bottom w:w="0" w:type="dxa"/>
        </w:tblCellMar>
        <w:tblLook w:val="04A0" w:firstRow="1" w:lastRow="0" w:firstColumn="1" w:lastColumn="0" w:noHBand="0" w:noVBand="1"/>
      </w:tblPr>
      <w:tblGrid>
        <w:gridCol w:w="508"/>
        <w:gridCol w:w="1861"/>
        <w:gridCol w:w="1683"/>
        <w:gridCol w:w="1701"/>
        <w:gridCol w:w="2126"/>
        <w:gridCol w:w="1559"/>
        <w:gridCol w:w="1984"/>
        <w:gridCol w:w="2268"/>
        <w:gridCol w:w="1904"/>
      </w:tblGrid>
      <w:tr>
        <w:tblPrEx/>
        <w:trPr>
          <w:trHeight w:val="939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50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6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Наименование объекта инфраструктуры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6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Местоположение объекта инфраструктуры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Ключевые мощностные характеристики объекта инфраструктуры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Сроки строительства (реконструкции) объекта инфраструктуры, в т.ч. срок начала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окончания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Ответственные исполнители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Объект инфраструктуры Федерального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комплексного плана,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со строительством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(реконструкцией)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которого прямо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непосредственно взаимоувязано строительство (реконструкция)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данного объекта,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и характер такой взаимоувязки (при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наличии)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2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Источники финансирования проекта по строительству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(реконструкции) объекта инфраструктуры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(федеральный бюджет, бюджет субъекта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Российской Федерации, бюджет муниципального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образования, внебюджетные источники и пр.) (объем финансирования указывается при наличии информации)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0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ациональные цели развития Российской Федерации,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для реализации которых необходим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объект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инфраструктуры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(проект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508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55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61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Российский</w:t>
            </w:r>
            <w:r>
              <w:rPr>
                <w:sz w:val="24"/>
                <w:szCs w:val="24"/>
                <w:lang w:val="ru-RU" w:bidi="ru-RU"/>
              </w:rPr>
              <w:t xml:space="preserve"> центр стрельбы из лука </w:t>
            </w:r>
            <w:r>
              <w:rPr>
                <w:sz w:val="24"/>
                <w:szCs w:val="24"/>
                <w:lang w:val="ru-RU" w:bidi="ru-RU"/>
              </w:rPr>
              <w:t xml:space="preserve">в г. Чита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683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г. Чита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16 587,5 кв. м.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2024-2026 г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Министерство физической культуры и спорта Забайкальского края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х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268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3 528,6 млн. руб., в том числе средства федерального бюджета – 1 526,9 млн. руб., краевого бюджета – 2 001,7 млн. руб.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04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Повышение уровня жизни, равенство возможностей.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С</w:t>
            </w:r>
            <w:r>
              <w:rPr>
                <w:sz w:val="24"/>
                <w:szCs w:val="24"/>
                <w:lang w:val="ru-RU"/>
              </w:rPr>
              <w:t xml:space="preserve">охранение населения, укрепление здоровья и повышение благополучия людей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 xml:space="preserve">Реализация потенциала каждого человека, развитие его талантов, воспитание патриотичной и социально ответственной личности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508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5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61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Центр единоборств</w:t>
            </w:r>
            <w:r>
              <w:rPr>
                <w:sz w:val="24"/>
                <w:szCs w:val="24"/>
                <w:lang w:val="ru-RU" w:bidi="ru-RU"/>
              </w:rPr>
              <w:t xml:space="preserve"> в г. Чита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683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г. Чита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20 010,0 кв. м.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2024-2026 г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Министерство физической культуры и спорта Забайкальского края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х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40" w:lineRule="auto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3</w:t>
            </w:r>
            <w:r>
              <w:rPr>
                <w:sz w:val="24"/>
                <w:szCs w:val="24"/>
                <w:lang w:val="ru-RU" w:bidi="ru-RU"/>
              </w:rPr>
              <w:t xml:space="preserve"> 824,3</w:t>
            </w:r>
            <w:r>
              <w:rPr>
                <w:sz w:val="24"/>
                <w:szCs w:val="24"/>
                <w:lang w:val="ru-RU" w:bidi="ru-RU"/>
              </w:rPr>
              <w:t xml:space="preserve"> млн. руб., в том числе средства федерального бюджета – </w:t>
            </w:r>
            <w:r>
              <w:rPr>
                <w:sz w:val="24"/>
                <w:szCs w:val="24"/>
                <w:lang w:val="ru-RU" w:bidi="ru-RU"/>
              </w:rPr>
              <w:t xml:space="preserve">2 126,5</w:t>
            </w:r>
            <w:r>
              <w:rPr>
                <w:sz w:val="24"/>
                <w:szCs w:val="24"/>
                <w:lang w:val="ru-RU" w:bidi="ru-RU"/>
              </w:rPr>
              <w:t xml:space="preserve"> млн. руб., краевого бюджета – </w:t>
            </w:r>
            <w:r>
              <w:rPr>
                <w:sz w:val="24"/>
                <w:szCs w:val="24"/>
                <w:lang w:val="ru-RU" w:bidi="ru-RU"/>
              </w:rPr>
              <w:t xml:space="preserve">1 697,8</w:t>
            </w:r>
            <w:r>
              <w:rPr>
                <w:sz w:val="24"/>
                <w:szCs w:val="24"/>
                <w:lang w:val="ru-RU" w:bidi="ru-RU"/>
              </w:rPr>
              <w:t xml:space="preserve"> млн. руб.</w:t>
            </w: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04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123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Повышение уровня жизни, равенство возможностей.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С</w:t>
            </w:r>
            <w:r>
              <w:rPr>
                <w:sz w:val="24"/>
                <w:szCs w:val="24"/>
                <w:lang w:val="ru-RU"/>
              </w:rPr>
              <w:t xml:space="preserve">охранение населения, укрепление здоровья и повышение благополучия людей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 xml:space="preserve">Реализация потенциала каждого человека, развитие его талантов, воспитание патриотичной и социально ответственной личности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</w:tbl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VI.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 Энергетическая инфраструктура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</w:p>
    <w:p>
      <w:pPr>
        <w:pStyle w:val="852"/>
        <w:numPr>
          <w:ilvl w:val="0"/>
          <w:numId w:val="48"/>
        </w:num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Целевые показатели и результаты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 реализации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раздела V комплексного плана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</w:p>
    <w:p>
      <w:pPr>
        <w:ind w:left="1080" w:right="354" w:firstLine="0"/>
        <w:jc w:val="left"/>
        <w:spacing w:after="0" w:line="268" w:lineRule="auto"/>
        <w:rPr>
          <w:sz w:val="28"/>
          <w:szCs w:val="24"/>
          <w:highlight w:val="none"/>
        </w:rPr>
      </w:pPr>
      <w:r>
        <w:rPr>
          <w:b/>
          <w:sz w:val="28"/>
          <w:szCs w:val="24"/>
          <w:highlight w:val="none"/>
        </w:rPr>
      </w:r>
      <w:r>
        <w:rPr>
          <w:sz w:val="28"/>
          <w:szCs w:val="24"/>
          <w:highlight w:val="none"/>
        </w:rPr>
      </w:r>
      <w:r>
        <w:rPr>
          <w:sz w:val="28"/>
          <w:szCs w:val="24"/>
          <w:highlight w:val="none"/>
        </w:rPr>
      </w:r>
    </w:p>
    <w:tbl>
      <w:tblPr>
        <w:tblW w:w="15036" w:type="dxa"/>
        <w:tblInd w:w="-4045" w:type="dxa"/>
        <w:tblLayout w:type="autofit"/>
        <w:tblCellMar>
          <w:left w:w="43" w:type="dxa"/>
          <w:top w:w="39" w:type="dxa"/>
          <w:right w:w="88" w:type="dxa"/>
          <w:bottom w:w="0" w:type="dxa"/>
        </w:tblCellMar>
        <w:tblLook w:val="04A0" w:firstRow="1" w:lastRow="0" w:firstColumn="1" w:lastColumn="0" w:noHBand="0" w:noVBand="1"/>
      </w:tblPr>
      <w:tblGrid>
        <w:gridCol w:w="417"/>
        <w:gridCol w:w="4530"/>
        <w:gridCol w:w="1153"/>
        <w:gridCol w:w="993"/>
        <w:gridCol w:w="1135"/>
        <w:gridCol w:w="1277"/>
        <w:gridCol w:w="1276"/>
        <w:gridCol w:w="994"/>
        <w:gridCol w:w="1418"/>
        <w:gridCol w:w="1844"/>
      </w:tblGrid>
      <w:tr>
        <w:tblPrEx/>
        <w:trPr>
          <w:trHeight w:val="400"/>
        </w:trPr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4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Целевые показатели и результаты реализации (дополнительные мощности)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gridSpan w:val="7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none" w:color="FFFFFF" w:sz="96" w:space="0"/>
            </w:tcBorders>
            <w:tcW w:w="824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Период,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>
          <w:trHeight w:val="400"/>
        </w:trPr>
        <w:tc>
          <w:tcPr>
            <w:gridSpan w:val="2"/>
            <w:tcBorders>
              <w:top w:val="none" w:color="FFFFFF" w:sz="96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47" w:type="auto"/>
            <w:vAlign w:val="top"/>
            <w:vMerge w:val="continue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123" w:line="259" w:lineRule="auto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5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9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9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41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2031 - 2036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none" w:color="FFFFFF" w:sz="96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4" w:type="auto"/>
            <w:vAlign w:val="top"/>
            <w:vMerge w:val="continue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123" w:line="259" w:lineRule="auto"/>
            </w:pPr>
            <w:r/>
            <w:r/>
          </w:p>
        </w:tc>
      </w:tr>
      <w:tr>
        <w:tblPrEx/>
        <w:trPr>
          <w:trHeight w:val="701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5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Прирост установленной мощности объектов генерации, МВт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5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9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120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245,3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658,7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9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41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1174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5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Построено и реконструировано подстанций, ед.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5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9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9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41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>
          <w:trHeight w:val="86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5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Протяженность построенных и реконструированных участков линий электропередачи, км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5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9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9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41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</w:tr>
    </w:tbl>
    <w:p>
      <w:pPr>
        <w:ind w:left="709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</w:p>
    <w:p>
      <w:pPr>
        <w:pStyle w:val="852"/>
        <w:numPr>
          <w:ilvl w:val="0"/>
          <w:numId w:val="48"/>
        </w:num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8"/>
          <w:szCs w:val="24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Объекты энергетической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инфраструктуры</w:t>
      </w:r>
      <w:r>
        <w:rPr>
          <w:rFonts w:ascii="Times New Roman" w:hAnsi="Times New Roman" w:eastAsia="Times New Roman" w:cs="Times New Roman"/>
          <w:sz w:val="28"/>
          <w:szCs w:val="24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highlight w:val="none"/>
          <w14:ligatures w14:val="none"/>
        </w:rPr>
      </w:r>
    </w:p>
    <w:p>
      <w:pPr>
        <w:ind w:left="709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</w:p>
    <w:tbl>
      <w:tblPr>
        <w:tblStyle w:val="868"/>
        <w:tblW w:w="0" w:type="auto"/>
        <w:tblInd w:w="-4074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1701"/>
        <w:gridCol w:w="1843"/>
        <w:gridCol w:w="1700"/>
        <w:gridCol w:w="1560"/>
        <w:gridCol w:w="2268"/>
        <w:gridCol w:w="2498"/>
        <w:gridCol w:w="1896"/>
      </w:tblGrid>
      <w:tr>
        <w:tblPrEx/>
        <w:trPr>
          <w:trHeight w:val="5191"/>
        </w:trPr>
        <w:tc>
          <w:tcPr>
            <w:tcW w:w="567" w:type="dxa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12"/>
              <w:ind w:left="0" w:firstLine="0"/>
              <w:jc w:val="left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Наименование объекта инфраструктуры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Местоположение объекта инфраструктуры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Ключевые мощностные характеристики объекта инфраструктуры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Сроки строительства (реконструкции) объекта инфраструктуры, в т.ч. срок начала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окончания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Ответственные исполнители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Объект инфраструктуры Федерального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комплексного плана,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со строительством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(реконструкцией)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которого прямо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непосредственно взаимоувязано строительство (реконструкция)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данного объекта,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и характер такой взаимоувязки (при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наличии)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W w:w="2498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Источники финансирования проекта по строительству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(реконструкции) объекта инфраструктуры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(федеральный бюджет, бюджет субъекта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Российской Федерации, бюджет муниципального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образования, внебюджетные источники и пр.) (объем финансирования указывается при наличии информации)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W w:w="189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Национальные цели развития Российской Федерации,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для реализации которых необходим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объект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инфраструктуры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(проект)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852"/>
              <w:numPr>
                <w:ilvl w:val="0"/>
                <w:numId w:val="52"/>
              </w:numPr>
              <w:ind w:left="0" w:firstLine="0"/>
              <w:jc w:val="left"/>
              <w:spacing w:after="0" w:line="259" w:lineRule="auto"/>
              <w:rPr>
                <w:sz w:val="24"/>
                <w:szCs w:val="24"/>
                <w14:ligatures w14:val="none"/>
              </w:rPr>
              <w:suppressLineNumbers w:val="0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  <w:t xml:space="preserve">Солнечная электростанция Абагайтуйская 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  <w:t xml:space="preserve">Забайкальский край, с. </w:t>
            </w:r>
            <w:r>
              <w:rPr>
                <w:sz w:val="24"/>
                <w:szCs w:val="24"/>
                <w:lang w:val="ru-RU" w:bidi="ru-RU"/>
              </w:rPr>
              <w:t xml:space="preserve">Абагайтуй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  <w:t xml:space="preserve">120 МВт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700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  <w:t xml:space="preserve">2026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  <w:t xml:space="preserve">ООО «Юнигрин </w:t>
            </w:r>
            <w:r>
              <w:rPr>
                <w:sz w:val="24"/>
                <w:szCs w:val="24"/>
                <w:lang w:val="ru-RU" w:bidi="ru-RU"/>
              </w:rPr>
              <w:t xml:space="preserve">Пауэр”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  <w:t xml:space="preserve">х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2498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бюджет,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 Забайкальского края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896" w:type="dxa"/>
            <w:vAlign w:val="top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  <w:t xml:space="preserve">Устойчивая и динамичная экономика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2"/>
              </w:numPr>
              <w:ind w:left="0" w:firstLine="0"/>
              <w:jc w:val="left"/>
              <w:spacing w:after="0" w:line="259" w:lineRule="auto"/>
              <w:rPr>
                <w:sz w:val="24"/>
                <w:szCs w:val="24"/>
                <w14:ligatures w14:val="none"/>
              </w:rPr>
              <w:suppressLineNumbers w:val="0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  <w:t xml:space="preserve">Солнечная электростанция Ононская СЭС,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  <w:t xml:space="preserve">Забайкальский край, </w:t>
            </w:r>
            <w:r>
              <w:rPr>
                <w:sz w:val="24"/>
                <w:szCs w:val="24"/>
                <w:lang w:val="ru-RU" w:bidi="ru-RU"/>
              </w:rPr>
              <w:t xml:space="preserve">МО Ононский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  <w:t xml:space="preserve">150 МВт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700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  <w:t xml:space="preserve">2026-2027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560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  <w:t xml:space="preserve">ООО «Юнигрин </w:t>
            </w:r>
            <w:r>
              <w:rPr>
                <w:sz w:val="24"/>
                <w:szCs w:val="24"/>
                <w:lang w:val="ru-RU" w:bidi="ru-RU"/>
              </w:rPr>
              <w:t xml:space="preserve">Пауэр”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  <w:t xml:space="preserve">х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2498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бюджет,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 Забайкальского края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89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  <w:t xml:space="preserve">Устойчивая и динамичная экономика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</w:tr>
      <w:tr>
        <w:tblPrEx/>
        <w:trPr>
          <w:trHeight w:val="1081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2"/>
              </w:numPr>
              <w:ind w:left="0" w:firstLine="0"/>
              <w:jc w:val="left"/>
              <w:spacing w:after="0" w:line="259" w:lineRule="auto"/>
              <w:rPr>
                <w:sz w:val="24"/>
                <w:szCs w:val="24"/>
                <w14:ligatures w14:val="none"/>
              </w:rPr>
              <w:suppressLineNumbers w:val="0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  <w:t xml:space="preserve">Солнечная электростанция Полевая СЭС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  <w:t xml:space="preserve">Забайкальский край, р-н </w:t>
            </w:r>
            <w:r>
              <w:rPr>
                <w:sz w:val="24"/>
                <w:szCs w:val="24"/>
                <w:lang w:val="ru-RU" w:bidi="ru-RU"/>
              </w:rPr>
              <w:t xml:space="preserve">Забайкальский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  <w:t xml:space="preserve">111,8 МВт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700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  <w:t xml:space="preserve">2027-2028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560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  <w:t xml:space="preserve">ООО «Солар Ритейл»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  <w:t xml:space="preserve">х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2498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бюджет,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 Забайкальского края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89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  <w:t xml:space="preserve">Устойчивая и динамичная экономика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2"/>
              </w:numPr>
              <w:ind w:left="0" w:firstLine="0"/>
              <w:jc w:val="left"/>
              <w:spacing w:after="0" w:line="259" w:lineRule="auto"/>
              <w:rPr>
                <w:sz w:val="24"/>
                <w:szCs w:val="24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  <w:t xml:space="preserve">Солнечная электростанция Луговая СЭС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  <w:t xml:space="preserve">Забайкальский край, р-н МО Шилкинский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  <w:t xml:space="preserve">133,5 МВт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700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  <w:t xml:space="preserve">2027-2028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560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  <w:t xml:space="preserve">ООО «Солар Ритейл»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  <w:t xml:space="preserve">х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2498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бюджет,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 Забайкальского края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89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  <w:t xml:space="preserve">Устойчивая и динамичная экономика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2"/>
              </w:numPr>
              <w:ind w:left="0" w:firstLine="0"/>
              <w:jc w:val="left"/>
              <w:spacing w:after="0" w:line="259" w:lineRule="auto"/>
              <w:rPr>
                <w:sz w:val="24"/>
                <w:szCs w:val="24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  <w:t xml:space="preserve">Конденсационная электростанция Харанорская ГРЭС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  <w:t xml:space="preserve">Забайкальский край, МО Оловяннинский, </w:t>
            </w:r>
            <w:r>
              <w:rPr>
                <w:sz w:val="24"/>
                <w:szCs w:val="24"/>
                <w:lang w:val="ru-RU" w:bidi="ru-RU"/>
              </w:rPr>
              <w:t xml:space="preserve">пгт. Ясногорск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  <w:t xml:space="preserve">460 МВт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700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  <w:t xml:space="preserve">2029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560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  <w:t xml:space="preserve">АО </w:t>
            </w:r>
            <w:r>
              <w:rPr>
                <w:lang w:val="ru-RU" w:bidi="ru-RU"/>
                <w14:ligatures w14:val="none"/>
              </w:rPr>
            </w:r>
            <w:r>
              <w:rPr>
                <w:lang w:val="ru-RU" w:bidi="ru-RU"/>
                <w14:ligatures w14:val="none"/>
              </w:rPr>
            </w:r>
          </w:p>
          <w:p>
            <w:pPr>
              <w:ind w:left="0" w:firstLine="0"/>
              <w:jc w:val="left"/>
              <w:spacing w:after="0" w:line="259" w:lineRule="auto"/>
              <w:rPr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  <w:t xml:space="preserve">«Интер РАО -</w:t>
            </w:r>
            <w:r>
              <w:rPr>
                <w:lang w:val="ru-RU" w:bidi="ru-RU"/>
                <w14:ligatures w14:val="none"/>
              </w:rPr>
            </w:r>
            <w:r>
              <w:rPr>
                <w:lang w:val="ru-RU" w:bidi="ru-RU"/>
                <w14:ligatures w14:val="none"/>
              </w:rPr>
            </w:r>
          </w:p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  <w:t xml:space="preserve">Электрогенерация»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  <w:t xml:space="preserve">х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2498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бюджет,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 Забайкальского края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89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  <w:t xml:space="preserve">Устойчивая и динамичная экономика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2"/>
              </w:numPr>
              <w:ind w:left="0" w:firstLine="0"/>
              <w:jc w:val="left"/>
              <w:spacing w:after="0" w:line="259" w:lineRule="auto"/>
              <w:rPr>
                <w:sz w:val="24"/>
                <w:szCs w:val="24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  <w:t xml:space="preserve">Солнечная электростанция Майдари СЭС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  <w:t xml:space="preserve">Забайкальский край, 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  <w:t xml:space="preserve">198,7 МВт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700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  <w:t xml:space="preserve">2028-2029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560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  <w:t xml:space="preserve">ООО «Солар Ритейл»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  <w:t xml:space="preserve">х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2498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бюджет,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 Забайкальского края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  <w:tc>
          <w:tcPr>
            <w:tcW w:w="1896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</w:rPr>
              <w:t xml:space="preserve">Устойчивая и динамичная экономика</w:t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  <w:p>
            <w:pPr>
              <w:ind w:left="0" w:firstLine="0"/>
              <w:jc w:val="left"/>
              <w:spacing w:after="0" w:line="259" w:lineRule="auto"/>
              <w:rPr>
                <w:sz w:val="24"/>
                <w:szCs w:val="24"/>
                <w:lang w:val="ru-RU" w:bidi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bidi="ru-RU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  <w:r>
              <w:rPr>
                <w:sz w:val="24"/>
                <w:szCs w:val="24"/>
                <w:lang w:val="ru-RU" w:bidi="ru-RU"/>
                <w14:ligatures w14:val="none"/>
              </w:rPr>
            </w:r>
          </w:p>
        </w:tc>
      </w:tr>
    </w:tbl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center"/>
        <w:spacing w:before="0" w:after="0" w:line="240" w:lineRule="auto"/>
        <w:rPr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VII. Телекоммуникационная инфраструктура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240" w:lineRule="auto"/>
        <w:rPr>
          <w:sz w:val="28"/>
          <w:szCs w:val="28"/>
          <w:highlight w:val="none"/>
        </w:rPr>
      </w:pPr>
      <w:r>
        <w:rPr>
          <w:sz w:val="28"/>
          <w:szCs w:val="24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52"/>
        <w:numPr>
          <w:ilvl w:val="0"/>
          <w:numId w:val="49"/>
        </w:num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Целевые показатели и результаты реализациираздела VI комплексного плана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</w:p>
    <w:tbl>
      <w:tblPr>
        <w:tblW w:w="15036" w:type="dxa"/>
        <w:tblInd w:w="-4045" w:type="dxa"/>
        <w:tblLayout w:type="fixed"/>
        <w:tblCellMar>
          <w:left w:w="43" w:type="dxa"/>
          <w:top w:w="39" w:type="dxa"/>
          <w:right w:w="88" w:type="dxa"/>
          <w:bottom w:w="0" w:type="dxa"/>
        </w:tblCellMar>
        <w:tblLook w:val="04A0" w:firstRow="1" w:lastRow="0" w:firstColumn="1" w:lastColumn="0" w:noHBand="0" w:noVBand="1"/>
      </w:tblPr>
      <w:tblGrid>
        <w:gridCol w:w="417"/>
        <w:gridCol w:w="3599"/>
        <w:gridCol w:w="1311"/>
        <w:gridCol w:w="1311"/>
        <w:gridCol w:w="1311"/>
        <w:gridCol w:w="1311"/>
        <w:gridCol w:w="1311"/>
        <w:gridCol w:w="1311"/>
        <w:gridCol w:w="1311"/>
        <w:gridCol w:w="1844"/>
      </w:tblGrid>
      <w:tr>
        <w:tblPrEx/>
        <w:trPr>
          <w:trHeight w:val="503"/>
        </w:trPr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01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Целевые показатели и результаты реализации (дополнительные мощности)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gridSpan w:val="7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none" w:color="FFFFFF" w:sz="96" w:space="23"/>
            </w:tcBorders>
            <w:tcW w:w="917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Период,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400"/>
        </w:trPr>
        <w:tc>
          <w:tcPr>
            <w:gridSpan w:val="2"/>
            <w:tcBorders>
              <w:top w:val="none" w:color="FFFFFF" w:sz="96" w:space="23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47" w:type="auto"/>
            <w:vAlign w:val="top"/>
            <w:vMerge w:val="continue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123" w:line="259" w:lineRule="auto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1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1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1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1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1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1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1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2031 - 2036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none" w:color="FFFFFF" w:sz="96" w:space="23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4" w:type="auto"/>
            <w:vAlign w:val="top"/>
            <w:vMerge w:val="continue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123" w:line="259" w:lineRule="auto"/>
            </w:pPr>
            <w:r/>
            <w:r/>
          </w:p>
        </w:tc>
      </w:tr>
      <w:tr>
        <w:tblPrEx/>
        <w:trPr>
          <w:trHeight w:val="109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359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Количество строящихся и реконструируемых объектов связи (базовые станции, объекты Российской телевизионной и радиовещательной сети), ед.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1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1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1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1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1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1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1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141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</w:tbl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red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red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red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red"/>
          <w14:ligatures w14:val="none"/>
        </w:rPr>
      </w:r>
    </w:p>
    <w:p>
      <w:pPr>
        <w:pStyle w:val="852"/>
        <w:numPr>
          <w:ilvl w:val="0"/>
          <w:numId w:val="49"/>
        </w:num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Объекты телекоммуникационной инфраструктуры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red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red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red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red"/>
          <w14:ligatures w14:val="none"/>
        </w:rPr>
      </w:r>
    </w:p>
    <w:tbl>
      <w:tblPr>
        <w:tblW w:w="15532" w:type="dxa"/>
        <w:tblInd w:w="-4040" w:type="dxa"/>
        <w:tblLayout w:type="fixed"/>
        <w:tblCellMar>
          <w:left w:w="83" w:type="dxa"/>
          <w:top w:w="33" w:type="dxa"/>
          <w:right w:w="83" w:type="dxa"/>
          <w:bottom w:w="0" w:type="dxa"/>
        </w:tblCellMar>
        <w:tblLook w:val="04A0" w:firstRow="1" w:lastRow="0" w:firstColumn="1" w:lastColumn="0" w:noHBand="0" w:noVBand="1"/>
      </w:tblPr>
      <w:tblGrid>
        <w:gridCol w:w="490"/>
        <w:gridCol w:w="1879"/>
        <w:gridCol w:w="1941"/>
        <w:gridCol w:w="1879"/>
        <w:gridCol w:w="1939"/>
        <w:gridCol w:w="1593"/>
        <w:gridCol w:w="1842"/>
        <w:gridCol w:w="1843"/>
        <w:gridCol w:w="2126"/>
      </w:tblGrid>
      <w:tr>
        <w:tblPrEx/>
        <w:trPr>
          <w:trHeight w:val="65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12"/>
              <w:ind w:left="0" w:firstLine="0"/>
              <w:jc w:val="left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Наименование объекта инфраструктуры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Местоположение объекта инфраструктуры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Ключевые мощностные характеристики объекта инфраструктуры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Сроки строительства (реконструкции) объекта инфраструктуры, в т.ч. срок начала</w:t>
              <w:tab/>
              <w:t xml:space="preserve">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окончания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Ответственные исполнители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Объект инфраструктуры Федерального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комплексного плана,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со строительством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(реконструкцией)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которого прямо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непосредственно взаимоувязано строительство (реконструкция)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данного объекта,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и характер такой взаимоувязки (при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наличии)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Источники финансирования проекта по строительству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(реконструкции) объекта инфраструктуры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(федеральный бюджет, бюджет субъекта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Российской Федерации, бюджет муниципального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образования, внебюджетные источники и пр.) (объем финансирования указывается при наличии информации)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Национальные цели развития Российской Федерации,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для реализации которых необходим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объект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инфраструктуры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(проект)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1802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Агинский округ,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Булактуй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Акшинский округ, Курулга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Акшинский округ, Тохтор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Акшинский округ, Улача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Александрово-Заводский округ, Кутугай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1812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Александрово-Заводский округ, Манкечур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Александрово-Заводский округ, Савво-Борзя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Александрово-Заводский округ, Шаранча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Борзинский округ, Ключевское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Борзинский округ, Курунзулай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Борзинский округ, Новоборзинское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Борзинский округ, Приозёрное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Борзинский округ, Шоноктуй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Дульдургинский округ, Красноярово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Калганский округ, Бура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Карымский округ, Атамановка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Карымский округ, Верхняя Талача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Краснокаменский округ, Богдановка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Краснокаменский округ, Капцегайтуй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Краснокаменский округ, Среднеаргунск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Красночикойский округ, Жиндо 2-е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Красночикойский округ, Усть-Урлук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Кыринский округ, Билютуй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Кыринский округ, Былыра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Кыринский округ, Михайло-Павловск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Кыринский округ, Тырин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Могойтуйский округ, Бурятская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Могойтуйский округ, Курильжа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Могочинский округ, Чалдонка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Нерчинский округ, Верхний Умыкэй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Нерчинско-Заводский округ, Булдуруй 1-й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Нерчинско-Заводский округ, Домасово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Нерчинско-Заводский округ, Ишага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Нерчинско-Заводский округ, Широкая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Оловяннинский округ, Верхний Шаранай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Ононский округ, Красная Ималка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Ононский округ, Старый Дурулгуй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Приаргунский округ, Верхний Тасуркай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Приаргунский округ, Селинда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Сретенский округ, Болотово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189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Сретенский округ, Фирсово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Тунгокоченский округ, Нижний Стан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Тунгокоченский округ, Халтуй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Улётовский округ, Ленинский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Хилокский округ, Глинка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Чернышевский округ, Курлыч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Читинский округ, Ленинский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Читинский округ, Оленгуй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Шелопугинский округ, Глинянка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Шелопугинский округ, Даякон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Шелопугинский округ, Малый Тонтой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Шелопугинский округ, Мироново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Шилкинский округ, Байцетуй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Шилкинский округ, Саввино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Шилкинский округ, Солнцево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Карымский округ, Кадахта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Министерство ЖКХ, энергетики, цифровизации и связи Забайкальского края, ПАО «МТС»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региональный бюджет, 5 250  тыс. руб.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Красночикойский округ, Байхор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Министерство ЖКХ, энергетики, цифровизации и связи Забайкальского края, ПАО «МТС»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региональный бюджет, 3 750 тыс. руб.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Красночикойский округ, Верхний Шергольджин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Министерство ЖКХ, энергетики, цифровизации и связи Забайкальского края, ПАО «МТС»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региональный бюджет, 4 600 тыс. руб.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Красночикойский округ, Этытэй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Министерство ЖКХ, энергетики, цифровизации и связи Забайкальского края, ПАО «МТС»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региональный бюджет, 3 750 тыс. руб.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Читинский округ, Иргень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Министерство ЖКХ, энергетики, цифровизации и связи Забайкальского края, ПАО «МТС»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региональный бюджет, 5 150 тыс. руб.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Шилкинский округ, Шиванда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Министерство ЖКХ, энергетики, цифровизации и связи Забайкальского края, ПАО «МТС»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региональный бюджет, 4 800 тыс.руб.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Акшинский округ, Бытэв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Акшинский округ, Убур-Тохтор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Александрово-Заводский округ, Бохто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Александрово-Заводский округ, Верхний Аленуй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Александрово-Заводский округ, Кокуй 2-й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Александрово-Заводский округ, Маньково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Александрово-Заводский округ, Новый Акатуй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Александрово-Заводский округ, Онон-Борзя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Александрово-Заводский округ, Чиндагатай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Газимуро-Заводский округ, Зерен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Газимуро-Заводский округ, Тайна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Забайкальский округ, Красный Великан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Калганский округ, Козлово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Калганский округ, Средняя Борзя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Карымский округ, Новодоронинск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Краснокаменский округ, Куйтун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Красночикойский округ, Аца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Красночикойский округ, Бурсомон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Красночикойский округ, Фомичёво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Красночикойский округ, Шимбилик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rPr>
                <w:color w:val="000000" w:themeColor="text1"/>
                <w:highlight w:val="none"/>
              </w:rPr>
              <w:suppressLineNumbers w:val="0"/>
            </w:pP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Кыринский округ, Гавань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rPr>
                <w:color w:val="000000" w:themeColor="text1"/>
                <w:highlight w:val="none"/>
              </w:rPr>
              <w:suppressLineNumbers w:val="0"/>
            </w:pP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Кыринский округ, Любовь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Кыринский округ, Хапчеранга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Могойтуйский округ, Ара-Булак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Могойтуйский округ, Догой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Нерчинско-Заводский округ, Чалбучи-Килга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Оловяннинский округ, Антия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Оловяннинский округ, Аренда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Оловяннинский округ, Единение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Ононский округ, Кубухай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Приаргунский округ, Новоивановка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Приаргунский округ, Урулюнгуй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Приаргунский округ, Усть-Тасуркай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Тунгиро-Олёкминский округ, Тупик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Хилокский округ, Гыршелун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Хилокский округ, Тэрэпхэн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Чернышевский округ, Ульякан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Читинский округ, Верхняя Карповка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Читинский округ, Кука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Читинский округ, Ягодный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Шелопугинский округ, Большой Тонтой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Шелопугинский округ, Малышево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Шилкинский округ, Арбагар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Шилкинский округ, Кокуй-Комогорцево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Шилкинский округ, Красноярово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Шилкинский округ, Нижняя Хила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1876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Шилкинский округ, Ононское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1506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suppressLineNumbers w:val="0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Шилкинский округ, Усть-Теленгуй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Минцифры РФ, ПАО «Ростелеком»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федеральный бюджет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1876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Красночикойский округ, Конкино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Министерство ЖКХ, энергетики, цифровизации и связи Забайкальского края, ПАО «МТС»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региональный бюджет, 1 500  тыс. руб.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  <w:tr>
        <w:tblPrEx/>
        <w:trPr>
          <w:trHeight w:val="1876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0" w:type="dxa"/>
            <w:vAlign w:val="top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6"/>
              </w:numPr>
              <w:ind w:left="0" w:firstLine="0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Шилкинский округ, Средняя Кия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7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3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Министерство ЖКХ, энергетики, цифровизации и связи Забайкальского края, ПАО «МТС»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региональный бюджет, 1 500  тыс. руб.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</w:tr>
    </w:tbl>
    <w:p>
      <w:pPr>
        <w:ind w:left="719" w:right="709" w:hanging="10"/>
        <w:jc w:val="center"/>
        <w:spacing w:after="172" w:line="268" w:lineRule="auto"/>
        <w:rPr>
          <w:sz w:val="28"/>
          <w:szCs w:val="24"/>
          <w:highlight w:val="none"/>
        </w:rPr>
      </w:pPr>
      <w:r>
        <w:rPr>
          <w:b/>
          <w:sz w:val="28"/>
          <w:szCs w:val="24"/>
          <w:highlight w:val="none"/>
        </w:rPr>
      </w:r>
      <w:r>
        <w:rPr>
          <w:sz w:val="28"/>
          <w:szCs w:val="24"/>
          <w:highlight w:val="none"/>
        </w:rPr>
      </w:r>
      <w:r>
        <w:rPr>
          <w:sz w:val="28"/>
          <w:szCs w:val="24"/>
          <w:highlight w:val="non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VIII. Трубопроводный транспорт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</w:p>
    <w:p>
      <w:pPr>
        <w:pStyle w:val="852"/>
        <w:numPr>
          <w:ilvl w:val="0"/>
          <w:numId w:val="50"/>
        </w:num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Целевые показатели и результаты реализациираздела VII комплексного плана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</w:p>
    <w:p>
      <w:pPr>
        <w:ind w:right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</w:p>
    <w:tbl>
      <w:tblPr>
        <w:tblW w:w="15036" w:type="dxa"/>
        <w:tblInd w:w="-4045" w:type="dxa"/>
        <w:tblLayout w:type="fixed"/>
        <w:tblCellMar>
          <w:left w:w="43" w:type="dxa"/>
          <w:top w:w="39" w:type="dxa"/>
          <w:right w:w="88" w:type="dxa"/>
          <w:bottom w:w="0" w:type="dxa"/>
        </w:tblCellMar>
        <w:tblLook w:val="04A0" w:firstRow="1" w:lastRow="0" w:firstColumn="1" w:lastColumn="0" w:noHBand="0" w:noVBand="1"/>
      </w:tblPr>
      <w:tblGrid>
        <w:gridCol w:w="414"/>
        <w:gridCol w:w="4000"/>
        <w:gridCol w:w="1268"/>
        <w:gridCol w:w="1268"/>
        <w:gridCol w:w="1268"/>
        <w:gridCol w:w="1268"/>
        <w:gridCol w:w="1359"/>
        <w:gridCol w:w="1268"/>
        <w:gridCol w:w="1541"/>
        <w:gridCol w:w="1382"/>
      </w:tblGrid>
      <w:tr>
        <w:tblPrEx/>
        <w:trPr>
          <w:trHeight w:val="400"/>
        </w:trPr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41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Целевые показатели и результаты реализации (дополнительные мощности)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gridSpan w:val="7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none" w:color="FFFFFF" w:sz="96" w:space="23"/>
            </w:tcBorders>
            <w:tcW w:w="924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Период,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8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>
          <w:trHeight w:val="400"/>
        </w:trPr>
        <w:tc>
          <w:tcPr>
            <w:gridSpan w:val="2"/>
            <w:tcBorders>
              <w:top w:val="none" w:color="FFFFFF" w:sz="96" w:space="23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947" w:type="auto"/>
            <w:vAlign w:val="top"/>
            <w:vMerge w:val="continue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123" w:line="259" w:lineRule="auto"/>
            </w:pP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4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2031 - 2036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none" w:color="FFFFFF" w:sz="96" w:space="23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4" w:type="auto"/>
            <w:vAlign w:val="top"/>
            <w:vMerge w:val="continue"/>
            <w:textDirection w:val="lrTb"/>
            <w:noWrap w:val="false"/>
          </w:tcPr>
          <w:p>
            <w:pPr>
              <w:pStyle w:val="1012"/>
              <w:ind w:left="0" w:firstLine="0"/>
              <w:jc w:val="left"/>
              <w:spacing w:after="123" w:line="259" w:lineRule="auto"/>
            </w:pPr>
            <w:r/>
            <w:r/>
          </w:p>
        </w:tc>
      </w:tr>
      <w:tr>
        <w:tblPrEx/>
        <w:trPr>
          <w:trHeight w:val="86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1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00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Количество строящихся и реконструируемых газопроводов (газопроводов- отводов), газораспределительных станций, ед.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68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uppressLineNumbers w:val="0"/>
            </w:pPr>
            <w:r>
              <w:t xml:space="preserve">х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68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14:ligatures w14:val="none"/>
              </w:rPr>
              <w:suppressLineNumbers w:val="0"/>
            </w:pPr>
            <w:r>
              <w:t xml:space="preserve">х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68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14:ligatures w14:val="none"/>
              </w:rPr>
              <w:suppressLineNumbers w:val="0"/>
            </w:pPr>
            <w:r>
              <w:t xml:space="preserve">х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68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14:ligatures w14:val="none"/>
              </w:rPr>
              <w:suppressLineNumbers w:val="0"/>
            </w:pPr>
            <w:r>
              <w:t xml:space="preserve">х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59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14:ligatures w14:val="none"/>
              </w:rPr>
              <w:suppressLineNumbers w:val="0"/>
            </w:pPr>
            <w:r>
              <w:t xml:space="preserve">х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268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14:ligatures w14:val="none"/>
              </w:rPr>
              <w:suppressLineNumbers w:val="0"/>
            </w:pPr>
            <w:r>
              <w:t xml:space="preserve">х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541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14:ligatures w14:val="none"/>
              </w:rPr>
              <w:suppressLineNumbers w:val="0"/>
            </w:pPr>
            <w:r>
              <w:t xml:space="preserve">х</w:t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382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14:ligatures w14:val="none"/>
              </w:rPr>
              <w:suppressLineNumbers w:val="0"/>
            </w:pPr>
            <w:r>
              <w:t xml:space="preserve">х</w:t>
            </w:r>
            <w:r>
              <w:rPr>
                <w14:ligatures w14:val="none"/>
              </w:rPr>
            </w:r>
          </w:p>
        </w:tc>
      </w:tr>
    </w:tbl>
    <w:p>
      <w:pPr>
        <w:ind w:left="969" w:right="709" w:firstLine="0"/>
        <w:jc w:val="center"/>
        <w:spacing w:after="0" w:line="268" w:lineRule="auto"/>
        <w:rPr>
          <w:highlight w:val="none"/>
        </w:rPr>
      </w:pPr>
      <w:r>
        <w:rPr>
          <w:b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52"/>
        <w:numPr>
          <w:ilvl w:val="0"/>
          <w:numId w:val="50"/>
        </w:num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 w:bidi="ru-RU"/>
        </w:rPr>
        <w:t xml:space="preserve">Объекты трубопроводного транспорта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</w:p>
    <w:p>
      <w:pPr>
        <w:ind w:left="969" w:right="709" w:firstLine="0"/>
        <w:jc w:val="center"/>
        <w:spacing w:after="0" w:line="268" w:lineRule="auto"/>
        <w:rPr>
          <w:highlight w:val="none"/>
        </w:rPr>
      </w:pPr>
      <w:r>
        <w:rPr>
          <w:b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W w:w="15021" w:type="dxa"/>
        <w:tblInd w:w="-4040" w:type="dxa"/>
        <w:tblLayout w:type="autofit"/>
        <w:tblCellMar>
          <w:left w:w="83" w:type="dxa"/>
          <w:top w:w="33" w:type="dxa"/>
          <w:right w:w="83" w:type="dxa"/>
          <w:bottom w:w="0" w:type="dxa"/>
        </w:tblCellMar>
        <w:tblLook w:val="04A0" w:firstRow="1" w:lastRow="0" w:firstColumn="1" w:lastColumn="0" w:noHBand="0" w:noVBand="1"/>
      </w:tblPr>
      <w:tblGrid>
        <w:gridCol w:w="432"/>
        <w:gridCol w:w="1690"/>
        <w:gridCol w:w="1842"/>
        <w:gridCol w:w="1843"/>
        <w:gridCol w:w="1843"/>
        <w:gridCol w:w="1701"/>
        <w:gridCol w:w="1843"/>
        <w:gridCol w:w="1984"/>
        <w:gridCol w:w="1843"/>
      </w:tblGrid>
      <w:tr>
        <w:tblPrEx/>
        <w:trPr>
          <w:trHeight w:val="1081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3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6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Наименование объекта инфраструктуры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Местоположение объекта инфраструктуры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Ключевые мощностные характеристики объекта инфраструктуры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Сроки строительства (реконструкции) объекта инфраструктуры, в т.ч. срок начала</w:t>
              <w:tab/>
              <w:t xml:space="preserve">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окончания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Ответственные исполнители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Объект инфраструктуры Федерального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комплексного плана,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со строительством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(реконструкцией)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которого прямо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непосредственно взаимоувязано строительство (реконструкция)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данного объекта,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и характер такой взаимоувязки (при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наличии)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Источники финансирования проекта по строительству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(реконструкции) объекта инфраструктуры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(федеральный бюджет, бюджет субъекта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Российской Федерации, бюджет муниципального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образования, внебюджетные источники и пр.) (объем финансирования указывается при наличии информации)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Национальные цели развития Российской Федерации,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для реализации которых необходим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объект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инфраструктуры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(проект)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3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bidi="ru-RU"/>
                <w14:ligatures w14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690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uppressLineNumbers w:val="0"/>
            </w:pPr>
            <w:r>
              <w:t xml:space="preserve">х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2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uppressLineNumbers w:val="0"/>
            </w:pPr>
            <w:r>
              <w:t xml:space="preserve">х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uppressLineNumbers w:val="0"/>
            </w:pPr>
            <w:r>
              <w:t xml:space="preserve">х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uppressLineNumbers w:val="0"/>
            </w:pPr>
            <w:r>
              <w:t xml:space="preserve">х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uppressLineNumbers w:val="0"/>
            </w:pPr>
            <w:r>
              <w:t xml:space="preserve">х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uppressLineNumbers w:val="0"/>
            </w:pPr>
            <w:r>
              <w:t xml:space="preserve">х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984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uppressLineNumbers w:val="0"/>
            </w:pPr>
            <w:r>
              <w:t xml:space="preserve">х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84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uppressLineNumbers w:val="0"/>
            </w:pPr>
            <w:r>
              <w:t xml:space="preserve">х</w:t>
            </w:r>
            <w:r/>
          </w:p>
        </w:tc>
      </w:tr>
    </w:tbl>
    <w:p>
      <w:pPr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  <w14:ligatures w14:val="non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  <w:t xml:space="preserve">————————————-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  <w14:ligatures w14:val="none"/>
        </w:rPr>
      </w:r>
    </w:p>
    <w:sectPr>
      <w:headerReference w:type="default" r:id="rId12"/>
      <w:headerReference w:type="even" r:id="rId13"/>
      <w:headerReference w:type="first" r:id="rId14"/>
      <w:footnotePr/>
      <w:endnotePr/>
      <w:type w:val="nextPage"/>
      <w:pgSz w:w="16838" w:h="11906" w:orient="landscape"/>
      <w:pgMar w:top="1754" w:right="4466" w:bottom="1964" w:left="5174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ind w:left="0" w:firstLine="0"/>
      <w:jc w:val="left"/>
      <w:spacing w:after="160" w:line="259" w:lineRule="auto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ind w:left="0" w:firstLine="0"/>
      <w:jc w:val="left"/>
      <w:spacing w:after="160" w:line="259" w:lineRule="auto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ind w:left="0" w:firstLine="0"/>
      <w:jc w:val="left"/>
      <w:spacing w:after="160" w:line="259" w:lineRule="auto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ind w:left="0" w:right="708" w:firstLine="0"/>
      <w:jc w:val="center"/>
      <w:spacing w:after="0" w:line="259" w:lineRule="auto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14</w:t>
    </w:r>
    <w:r>
      <w:fldChar w:fldCharType="end"/>
    </w:r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ind w:left="0" w:right="708" w:firstLine="0"/>
      <w:jc w:val="center"/>
      <w:spacing w:after="0" w:line="259" w:lineRule="auto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14</w:t>
    </w:r>
    <w:r>
      <w:fldChar w:fldCharType="end"/>
    </w:r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ind w:left="0" w:firstLine="0"/>
      <w:jc w:val="left"/>
      <w:spacing w:after="160" w:line="259" w:lineRule="auto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3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0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18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25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2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39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46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4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1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69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6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28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00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72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44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16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88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60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32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5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83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bullet"/>
      <w:isLgl w:val="false"/>
      <w:suff w:val="tab"/>
      <w:lvlText w:val=""/>
      <w:lvlJc w:val="left"/>
      <w:pPr>
        <w:ind w:left="119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5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83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bullet"/>
      <w:isLgl w:val="false"/>
      <w:suff w:val="tab"/>
      <w:lvlText w:val="-"/>
      <w:lvlJc w:val="left"/>
      <w:pPr>
        <w:ind w:left="7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5"/>
      <w:numFmt w:val="decimal"/>
      <w:isLgl w:val="false"/>
      <w:suff w:val="tab"/>
      <w:lvlText w:val="%1.%2."/>
      <w:lvlJc w:val="left"/>
      <w:pPr>
        <w:ind w:left="7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3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2"/>
      <w:numFmt w:val="decimal"/>
      <w:isLgl w:val="false"/>
      <w:suff w:val="tab"/>
      <w:lvlText w:val="%1.%2."/>
      <w:lvlJc w:val="left"/>
      <w:pPr>
        <w:ind w:left="7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3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7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3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5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83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bullet"/>
      <w:isLgl w:val="false"/>
      <w:suff w:val="tab"/>
      <w:lvlText w:val=""/>
      <w:lvlJc w:val="left"/>
      <w:pPr>
        <w:ind w:left="119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9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4"/>
      <w:numFmt w:val="decimal"/>
      <w:isLgl w:val="false"/>
      <w:suff w:val="tab"/>
      <w:lvlText w:val="%1.%2."/>
      <w:lvlJc w:val="left"/>
      <w:pPr>
        <w:ind w:left="7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3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5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83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isLgl w:val="false"/>
      <w:suff w:val="tab"/>
      <w:lvlText w:val="%4)"/>
      <w:lvlJc w:val="left"/>
      <w:pPr>
        <w:ind w:left="119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5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83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bullet"/>
      <w:isLgl w:val="false"/>
      <w:suff w:val="tab"/>
      <w:lvlText w:val=""/>
      <w:lvlJc w:val="left"/>
      <w:pPr>
        <w:ind w:left="119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5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83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bullet"/>
      <w:isLgl w:val="false"/>
      <w:suff w:val="tab"/>
      <w:lvlText w:val=""/>
      <w:lvlJc w:val="left"/>
      <w:pPr>
        <w:ind w:left="93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56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3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14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2"/>
      <w:numFmt w:val="decimal"/>
      <w:isLgl w:val="false"/>
      <w:suff w:val="tab"/>
      <w:lvlText w:val="%1.%2"/>
      <w:lvlJc w:val="left"/>
      <w:pPr>
        <w:ind w:left="71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7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3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5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83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bullet"/>
      <w:isLgl w:val="false"/>
      <w:suff w:val="tab"/>
      <w:lvlText w:val=""/>
      <w:lvlJc w:val="left"/>
      <w:pPr>
        <w:ind w:left="119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6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19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91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63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35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07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79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51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23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0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18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2"/>
      <w:numFmt w:val="decimal"/>
      <w:isLgl w:val="false"/>
      <w:suff w:val="tab"/>
      <w:lvlText w:val="%1.%2"/>
      <w:lvlJc w:val="left"/>
      <w:pPr>
        <w:ind w:left="71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7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3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6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6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224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944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664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384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104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824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544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264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5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83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bullet"/>
      <w:isLgl w:val="false"/>
      <w:suff w:val="tab"/>
      <w:lvlText w:val=""/>
      <w:lvlJc w:val="left"/>
      <w:pPr>
        <w:ind w:left="119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3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6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14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6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8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30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02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74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6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8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69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6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31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03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75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47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19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91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63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35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5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83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bullet"/>
      <w:isLgl w:val="false"/>
      <w:suff w:val="tab"/>
      <w:lvlText w:val=""/>
      <w:lvlJc w:val="left"/>
      <w:pPr>
        <w:ind w:left="7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5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83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bullet"/>
      <w:isLgl w:val="false"/>
      <w:suff w:val="tab"/>
      <w:lvlText w:val=""/>
      <w:lvlJc w:val="left"/>
      <w:pPr>
        <w:ind w:left="119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25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3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8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6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08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0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2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4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6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8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0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2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27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2"/>
      <w:numFmt w:val="decimal"/>
      <w:isLgl w:val="false"/>
      <w:suff w:val="tab"/>
      <w:lvlText w:val="%1.%2."/>
      <w:lvlJc w:val="left"/>
      <w:pPr>
        <w:ind w:left="7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3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5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83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bullet"/>
      <w:isLgl w:val="false"/>
      <w:suff w:val="tab"/>
      <w:lvlText w:val=""/>
      <w:lvlJc w:val="left"/>
      <w:pPr>
        <w:ind w:left="56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5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83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bullet"/>
      <w:isLgl w:val="false"/>
      <w:suff w:val="tab"/>
      <w:lvlText w:val=""/>
      <w:lvlJc w:val="left"/>
      <w:pPr>
        <w:ind w:left="56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5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83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bullet"/>
      <w:isLgl w:val="false"/>
      <w:suff w:val="tab"/>
      <w:lvlText w:val=""/>
      <w:lvlJc w:val="left"/>
      <w:pPr>
        <w:ind w:left="119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5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83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bullet"/>
      <w:isLgl w:val="false"/>
      <w:suff w:val="tab"/>
      <w:lvlText w:val=""/>
      <w:lvlJc w:val="left"/>
      <w:pPr>
        <w:ind w:left="119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32">
    <w:multiLevelType w:val="hybridMultilevel"/>
    <w:lvl w:ilvl="0">
      <w:start w:val="50"/>
      <w:numFmt w:val="decimal"/>
      <w:isLgl w:val="false"/>
      <w:suff w:val="tab"/>
      <w:lvlText w:val="%1."/>
      <w:lvlJc w:val="left"/>
      <w:pPr>
        <w:ind w:left="7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0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5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83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bullet"/>
      <w:isLgl w:val="false"/>
      <w:suff w:val="tab"/>
      <w:lvlText w:val=""/>
      <w:lvlJc w:val="left"/>
      <w:pPr>
        <w:ind w:left="119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4"/>
      <w:numFmt w:val="decimal"/>
      <w:isLgl w:val="false"/>
      <w:suff w:val="tab"/>
      <w:lvlText w:val="%1.%2."/>
      <w:lvlJc w:val="left"/>
      <w:pPr>
        <w:ind w:left="92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3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5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83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bullet"/>
      <w:isLgl w:val="false"/>
      <w:suff w:val="tab"/>
      <w:lvlText w:val=""/>
      <w:lvlJc w:val="left"/>
      <w:pPr>
        <w:ind w:left="119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36">
    <w:multiLevelType w:val="hybridMultilevel"/>
    <w:lvl w:ilvl="0">
      <w:start w:val="80"/>
      <w:numFmt w:val="decimal"/>
      <w:isLgl w:val="false"/>
      <w:suff w:val="tab"/>
      <w:lvlText w:val="%1."/>
      <w:lvlJc w:val="left"/>
      <w:pPr>
        <w:ind w:left="7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0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decimal"/>
      <w:isLgl w:val="false"/>
      <w:suff w:val="tab"/>
      <w:lvlText w:val="%2."/>
      <w:lvlJc w:val="left"/>
      <w:pPr>
        <w:ind w:left="607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6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436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156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2876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596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316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036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756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78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39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11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83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5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7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9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71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438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7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49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7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7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26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84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6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8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0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2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4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6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86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6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19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91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63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35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07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79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51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23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5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7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9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1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3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5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7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9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18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3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6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14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6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8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30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02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74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6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8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7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69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41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13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85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7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29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01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735" w:hanging="180"/>
      </w:p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6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68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40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12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84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6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28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00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723" w:hanging="180"/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7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69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41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13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85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7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29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01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735" w:hanging="180"/>
      </w:pPr>
    </w:lvl>
  </w:abstractNum>
  <w:num w:numId="1">
    <w:abstractNumId w:val="17"/>
  </w:num>
  <w:num w:numId="2">
    <w:abstractNumId w:val="32"/>
  </w:num>
  <w:num w:numId="3">
    <w:abstractNumId w:val="36"/>
  </w:num>
  <w:num w:numId="4">
    <w:abstractNumId w:val="3"/>
  </w:num>
  <w:num w:numId="5">
    <w:abstractNumId w:val="25"/>
  </w:num>
  <w:num w:numId="6">
    <w:abstractNumId w:val="18"/>
  </w:num>
  <w:num w:numId="7">
    <w:abstractNumId w:val="0"/>
  </w:num>
  <w:num w:numId="8">
    <w:abstractNumId w:val="5"/>
  </w:num>
  <w:num w:numId="9">
    <w:abstractNumId w:val="9"/>
  </w:num>
  <w:num w:numId="10">
    <w:abstractNumId w:val="11"/>
  </w:num>
  <w:num w:numId="11">
    <w:abstractNumId w:val="13"/>
  </w:num>
  <w:num w:numId="12">
    <w:abstractNumId w:val="29"/>
  </w:num>
  <w:num w:numId="13">
    <w:abstractNumId w:val="34"/>
  </w:num>
  <w:num w:numId="14">
    <w:abstractNumId w:val="28"/>
  </w:num>
  <w:num w:numId="15">
    <w:abstractNumId w:val="24"/>
  </w:num>
  <w:num w:numId="16">
    <w:abstractNumId w:val="23"/>
  </w:num>
  <w:num w:numId="17">
    <w:abstractNumId w:val="6"/>
  </w:num>
  <w:num w:numId="18">
    <w:abstractNumId w:val="10"/>
  </w:num>
  <w:num w:numId="19">
    <w:abstractNumId w:val="4"/>
  </w:num>
  <w:num w:numId="20">
    <w:abstractNumId w:val="30"/>
  </w:num>
  <w:num w:numId="21">
    <w:abstractNumId w:val="20"/>
  </w:num>
  <w:num w:numId="22">
    <w:abstractNumId w:val="14"/>
  </w:num>
  <w:num w:numId="23">
    <w:abstractNumId w:val="31"/>
  </w:num>
  <w:num w:numId="24">
    <w:abstractNumId w:val="15"/>
  </w:num>
  <w:num w:numId="25">
    <w:abstractNumId w:val="35"/>
  </w:num>
  <w:num w:numId="26">
    <w:abstractNumId w:val="27"/>
  </w:num>
  <w:num w:numId="27">
    <w:abstractNumId w:val="8"/>
  </w:num>
  <w:num w:numId="28">
    <w:abstractNumId w:val="12"/>
  </w:num>
  <w:num w:numId="29">
    <w:abstractNumId w:val="33"/>
  </w:num>
  <w:num w:numId="30">
    <w:abstractNumId w:val="7"/>
  </w:num>
  <w:num w:numId="31">
    <w:abstractNumId w:val="1"/>
  </w:num>
  <w:num w:numId="32">
    <w:abstractNumId w:val="26"/>
  </w:num>
  <w:num w:numId="33">
    <w:abstractNumId w:val="2"/>
  </w:num>
  <w:num w:numId="34">
    <w:abstractNumId w:val="21"/>
  </w:num>
  <w:num w:numId="35">
    <w:abstractNumId w:val="37"/>
  </w:num>
  <w:num w:numId="36">
    <w:abstractNumId w:val="16"/>
  </w:num>
  <w:num w:numId="37">
    <w:abstractNumId w:val="19"/>
  </w:num>
  <w:num w:numId="38">
    <w:abstractNumId w:val="22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34">
    <w:name w:val="Heading 1"/>
    <w:basedOn w:val="1012"/>
    <w:next w:val="1012"/>
    <w:link w:val="8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35">
    <w:name w:val="Heading 1 Char"/>
    <w:basedOn w:val="1013"/>
    <w:link w:val="834"/>
    <w:uiPriority w:val="9"/>
    <w:rPr>
      <w:rFonts w:ascii="Arial" w:hAnsi="Arial" w:eastAsia="Arial" w:cs="Arial"/>
      <w:sz w:val="40"/>
      <w:szCs w:val="40"/>
    </w:rPr>
  </w:style>
  <w:style w:type="paragraph" w:styleId="836">
    <w:name w:val="Heading 2"/>
    <w:basedOn w:val="1012"/>
    <w:next w:val="1012"/>
    <w:link w:val="8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37">
    <w:name w:val="Heading 2 Char"/>
    <w:basedOn w:val="1013"/>
    <w:link w:val="836"/>
    <w:uiPriority w:val="9"/>
    <w:rPr>
      <w:rFonts w:ascii="Arial" w:hAnsi="Arial" w:eastAsia="Arial" w:cs="Arial"/>
      <w:sz w:val="34"/>
    </w:rPr>
  </w:style>
  <w:style w:type="paragraph" w:styleId="838">
    <w:name w:val="Heading 3"/>
    <w:basedOn w:val="1012"/>
    <w:next w:val="1012"/>
    <w:link w:val="8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39">
    <w:name w:val="Heading 3 Char"/>
    <w:basedOn w:val="1013"/>
    <w:link w:val="838"/>
    <w:uiPriority w:val="9"/>
    <w:rPr>
      <w:rFonts w:ascii="Arial" w:hAnsi="Arial" w:eastAsia="Arial" w:cs="Arial"/>
      <w:sz w:val="30"/>
      <w:szCs w:val="30"/>
    </w:rPr>
  </w:style>
  <w:style w:type="paragraph" w:styleId="840">
    <w:name w:val="Heading 4"/>
    <w:basedOn w:val="1012"/>
    <w:next w:val="1012"/>
    <w:link w:val="8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1">
    <w:name w:val="Heading 4 Char"/>
    <w:basedOn w:val="1013"/>
    <w:link w:val="840"/>
    <w:uiPriority w:val="9"/>
    <w:rPr>
      <w:rFonts w:ascii="Arial" w:hAnsi="Arial" w:eastAsia="Arial" w:cs="Arial"/>
      <w:b/>
      <w:bCs/>
      <w:sz w:val="26"/>
      <w:szCs w:val="26"/>
    </w:rPr>
  </w:style>
  <w:style w:type="paragraph" w:styleId="842">
    <w:name w:val="Heading 5"/>
    <w:basedOn w:val="1012"/>
    <w:next w:val="1012"/>
    <w:link w:val="8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3">
    <w:name w:val="Heading 5 Char"/>
    <w:basedOn w:val="1013"/>
    <w:link w:val="842"/>
    <w:uiPriority w:val="9"/>
    <w:rPr>
      <w:rFonts w:ascii="Arial" w:hAnsi="Arial" w:eastAsia="Arial" w:cs="Arial"/>
      <w:b/>
      <w:bCs/>
      <w:sz w:val="24"/>
      <w:szCs w:val="24"/>
    </w:rPr>
  </w:style>
  <w:style w:type="paragraph" w:styleId="844">
    <w:name w:val="Heading 6"/>
    <w:basedOn w:val="1012"/>
    <w:next w:val="1012"/>
    <w:link w:val="8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45">
    <w:name w:val="Heading 6 Char"/>
    <w:basedOn w:val="1013"/>
    <w:link w:val="844"/>
    <w:uiPriority w:val="9"/>
    <w:rPr>
      <w:rFonts w:ascii="Arial" w:hAnsi="Arial" w:eastAsia="Arial" w:cs="Arial"/>
      <w:b/>
      <w:bCs/>
      <w:sz w:val="22"/>
      <w:szCs w:val="22"/>
    </w:rPr>
  </w:style>
  <w:style w:type="paragraph" w:styleId="846">
    <w:name w:val="Heading 7"/>
    <w:basedOn w:val="1012"/>
    <w:next w:val="1012"/>
    <w:link w:val="8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47">
    <w:name w:val="Heading 7 Char"/>
    <w:basedOn w:val="1013"/>
    <w:link w:val="8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48">
    <w:name w:val="Heading 8"/>
    <w:basedOn w:val="1012"/>
    <w:next w:val="1012"/>
    <w:link w:val="8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49">
    <w:name w:val="Heading 8 Char"/>
    <w:basedOn w:val="1013"/>
    <w:link w:val="848"/>
    <w:uiPriority w:val="9"/>
    <w:rPr>
      <w:rFonts w:ascii="Arial" w:hAnsi="Arial" w:eastAsia="Arial" w:cs="Arial"/>
      <w:i/>
      <w:iCs/>
      <w:sz w:val="22"/>
      <w:szCs w:val="22"/>
    </w:rPr>
  </w:style>
  <w:style w:type="paragraph" w:styleId="850">
    <w:name w:val="Heading 9"/>
    <w:basedOn w:val="1012"/>
    <w:next w:val="1012"/>
    <w:link w:val="8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1">
    <w:name w:val="Heading 9 Char"/>
    <w:basedOn w:val="1013"/>
    <w:link w:val="850"/>
    <w:uiPriority w:val="9"/>
    <w:rPr>
      <w:rFonts w:ascii="Arial" w:hAnsi="Arial" w:eastAsia="Arial" w:cs="Arial"/>
      <w:i/>
      <w:iCs/>
      <w:sz w:val="21"/>
      <w:szCs w:val="21"/>
    </w:rPr>
  </w:style>
  <w:style w:type="paragraph" w:styleId="852">
    <w:name w:val="List Paragraph"/>
    <w:basedOn w:val="1012"/>
    <w:uiPriority w:val="34"/>
    <w:qFormat/>
    <w:pPr>
      <w:contextualSpacing/>
      <w:ind w:left="720"/>
    </w:pPr>
  </w:style>
  <w:style w:type="paragraph" w:styleId="853">
    <w:name w:val="No Spacing"/>
    <w:uiPriority w:val="1"/>
    <w:qFormat/>
    <w:pPr>
      <w:spacing w:before="0" w:after="0" w:line="240" w:lineRule="auto"/>
    </w:pPr>
  </w:style>
  <w:style w:type="paragraph" w:styleId="854">
    <w:name w:val="Title"/>
    <w:basedOn w:val="1012"/>
    <w:next w:val="1012"/>
    <w:link w:val="8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55">
    <w:name w:val="Title Char"/>
    <w:basedOn w:val="1013"/>
    <w:link w:val="854"/>
    <w:uiPriority w:val="10"/>
    <w:rPr>
      <w:sz w:val="48"/>
      <w:szCs w:val="48"/>
    </w:rPr>
  </w:style>
  <w:style w:type="paragraph" w:styleId="856">
    <w:name w:val="Subtitle"/>
    <w:basedOn w:val="1012"/>
    <w:next w:val="1012"/>
    <w:link w:val="857"/>
    <w:uiPriority w:val="11"/>
    <w:qFormat/>
    <w:pPr>
      <w:spacing w:before="200" w:after="200"/>
    </w:pPr>
    <w:rPr>
      <w:sz w:val="24"/>
      <w:szCs w:val="24"/>
    </w:rPr>
  </w:style>
  <w:style w:type="character" w:styleId="857">
    <w:name w:val="Subtitle Char"/>
    <w:basedOn w:val="1013"/>
    <w:link w:val="856"/>
    <w:uiPriority w:val="11"/>
    <w:rPr>
      <w:sz w:val="24"/>
      <w:szCs w:val="24"/>
    </w:rPr>
  </w:style>
  <w:style w:type="paragraph" w:styleId="858">
    <w:name w:val="Quote"/>
    <w:basedOn w:val="1012"/>
    <w:next w:val="1012"/>
    <w:link w:val="859"/>
    <w:uiPriority w:val="29"/>
    <w:qFormat/>
    <w:pPr>
      <w:ind w:left="720" w:right="720"/>
    </w:pPr>
    <w:rPr>
      <w:i/>
    </w:rPr>
  </w:style>
  <w:style w:type="character" w:styleId="859">
    <w:name w:val="Quote Char"/>
    <w:link w:val="858"/>
    <w:uiPriority w:val="29"/>
    <w:rPr>
      <w:i/>
    </w:rPr>
  </w:style>
  <w:style w:type="paragraph" w:styleId="860">
    <w:name w:val="Intense Quote"/>
    <w:basedOn w:val="1012"/>
    <w:next w:val="1012"/>
    <w:link w:val="8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61">
    <w:name w:val="Intense Quote Char"/>
    <w:link w:val="860"/>
    <w:uiPriority w:val="30"/>
    <w:rPr>
      <w:i/>
    </w:rPr>
  </w:style>
  <w:style w:type="paragraph" w:styleId="862">
    <w:name w:val="Header"/>
    <w:basedOn w:val="1012"/>
    <w:link w:val="8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63">
    <w:name w:val="Header Char"/>
    <w:basedOn w:val="1013"/>
    <w:link w:val="862"/>
    <w:uiPriority w:val="99"/>
  </w:style>
  <w:style w:type="paragraph" w:styleId="864">
    <w:name w:val="Footer"/>
    <w:basedOn w:val="1012"/>
    <w:link w:val="8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65">
    <w:name w:val="Footer Char"/>
    <w:basedOn w:val="1013"/>
    <w:link w:val="864"/>
    <w:uiPriority w:val="99"/>
  </w:style>
  <w:style w:type="paragraph" w:styleId="866">
    <w:name w:val="Caption"/>
    <w:basedOn w:val="1012"/>
    <w:next w:val="1012"/>
    <w:link w:val="86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67">
    <w:name w:val="Caption Char"/>
    <w:basedOn w:val="1013"/>
    <w:link w:val="866"/>
    <w:uiPriority w:val="35"/>
    <w:rPr>
      <w:b/>
      <w:bCs/>
      <w:color w:val="4f81bd" w:themeColor="accent1"/>
      <w:sz w:val="18"/>
      <w:szCs w:val="18"/>
    </w:rPr>
  </w:style>
  <w:style w:type="table" w:styleId="86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7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7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7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7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9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9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9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0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0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0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0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0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90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90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90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0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1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1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1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1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3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3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3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3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3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3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3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6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6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6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6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6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6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6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6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6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6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7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7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7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7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7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7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7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7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7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7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8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8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8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8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8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8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8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8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8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8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9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9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9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9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94">
    <w:name w:val="Hyperlink"/>
    <w:uiPriority w:val="99"/>
    <w:unhideWhenUsed/>
    <w:rPr>
      <w:color w:val="0000ff" w:themeColor="hyperlink"/>
      <w:u w:val="single"/>
    </w:rPr>
  </w:style>
  <w:style w:type="paragraph" w:styleId="995">
    <w:name w:val="footnote text"/>
    <w:basedOn w:val="1012"/>
    <w:link w:val="996"/>
    <w:uiPriority w:val="99"/>
    <w:semiHidden/>
    <w:unhideWhenUsed/>
    <w:pPr>
      <w:spacing w:after="40" w:line="240" w:lineRule="auto"/>
    </w:pPr>
    <w:rPr>
      <w:sz w:val="18"/>
    </w:rPr>
  </w:style>
  <w:style w:type="character" w:styleId="996">
    <w:name w:val="Footnote Text Char"/>
    <w:link w:val="995"/>
    <w:uiPriority w:val="99"/>
    <w:rPr>
      <w:sz w:val="18"/>
    </w:rPr>
  </w:style>
  <w:style w:type="character" w:styleId="997">
    <w:name w:val="footnote reference"/>
    <w:basedOn w:val="1013"/>
    <w:uiPriority w:val="99"/>
    <w:unhideWhenUsed/>
    <w:rPr>
      <w:vertAlign w:val="superscript"/>
    </w:rPr>
  </w:style>
  <w:style w:type="paragraph" w:styleId="998">
    <w:name w:val="endnote text"/>
    <w:basedOn w:val="1012"/>
    <w:link w:val="999"/>
    <w:uiPriority w:val="99"/>
    <w:semiHidden/>
    <w:unhideWhenUsed/>
    <w:pPr>
      <w:spacing w:after="0" w:line="240" w:lineRule="auto"/>
    </w:pPr>
    <w:rPr>
      <w:sz w:val="20"/>
    </w:rPr>
  </w:style>
  <w:style w:type="character" w:styleId="999">
    <w:name w:val="Endnote Text Char"/>
    <w:link w:val="998"/>
    <w:uiPriority w:val="99"/>
    <w:rPr>
      <w:sz w:val="20"/>
    </w:rPr>
  </w:style>
  <w:style w:type="character" w:styleId="1000">
    <w:name w:val="endnote reference"/>
    <w:basedOn w:val="1013"/>
    <w:uiPriority w:val="99"/>
    <w:semiHidden/>
    <w:unhideWhenUsed/>
    <w:rPr>
      <w:vertAlign w:val="superscript"/>
    </w:rPr>
  </w:style>
  <w:style w:type="paragraph" w:styleId="1001">
    <w:name w:val="toc 1"/>
    <w:basedOn w:val="1012"/>
    <w:next w:val="1012"/>
    <w:uiPriority w:val="39"/>
    <w:unhideWhenUsed/>
    <w:pPr>
      <w:ind w:left="0" w:right="0" w:firstLine="0"/>
      <w:spacing w:after="57"/>
    </w:pPr>
  </w:style>
  <w:style w:type="paragraph" w:styleId="1002">
    <w:name w:val="toc 2"/>
    <w:basedOn w:val="1012"/>
    <w:next w:val="1012"/>
    <w:uiPriority w:val="39"/>
    <w:unhideWhenUsed/>
    <w:pPr>
      <w:ind w:left="283" w:right="0" w:firstLine="0"/>
      <w:spacing w:after="57"/>
    </w:pPr>
  </w:style>
  <w:style w:type="paragraph" w:styleId="1003">
    <w:name w:val="toc 3"/>
    <w:basedOn w:val="1012"/>
    <w:next w:val="1012"/>
    <w:uiPriority w:val="39"/>
    <w:unhideWhenUsed/>
    <w:pPr>
      <w:ind w:left="567" w:right="0" w:firstLine="0"/>
      <w:spacing w:after="57"/>
    </w:pPr>
  </w:style>
  <w:style w:type="paragraph" w:styleId="1004">
    <w:name w:val="toc 4"/>
    <w:basedOn w:val="1012"/>
    <w:next w:val="1012"/>
    <w:uiPriority w:val="39"/>
    <w:unhideWhenUsed/>
    <w:pPr>
      <w:ind w:left="850" w:right="0" w:firstLine="0"/>
      <w:spacing w:after="57"/>
    </w:pPr>
  </w:style>
  <w:style w:type="paragraph" w:styleId="1005">
    <w:name w:val="toc 5"/>
    <w:basedOn w:val="1012"/>
    <w:next w:val="1012"/>
    <w:uiPriority w:val="39"/>
    <w:unhideWhenUsed/>
    <w:pPr>
      <w:ind w:left="1134" w:right="0" w:firstLine="0"/>
      <w:spacing w:after="57"/>
    </w:pPr>
  </w:style>
  <w:style w:type="paragraph" w:styleId="1006">
    <w:name w:val="toc 6"/>
    <w:basedOn w:val="1012"/>
    <w:next w:val="1012"/>
    <w:uiPriority w:val="39"/>
    <w:unhideWhenUsed/>
    <w:pPr>
      <w:ind w:left="1417" w:right="0" w:firstLine="0"/>
      <w:spacing w:after="57"/>
    </w:pPr>
  </w:style>
  <w:style w:type="paragraph" w:styleId="1007">
    <w:name w:val="toc 7"/>
    <w:basedOn w:val="1012"/>
    <w:next w:val="1012"/>
    <w:uiPriority w:val="39"/>
    <w:unhideWhenUsed/>
    <w:pPr>
      <w:ind w:left="1701" w:right="0" w:firstLine="0"/>
      <w:spacing w:after="57"/>
    </w:pPr>
  </w:style>
  <w:style w:type="paragraph" w:styleId="1008">
    <w:name w:val="toc 8"/>
    <w:basedOn w:val="1012"/>
    <w:next w:val="1012"/>
    <w:uiPriority w:val="39"/>
    <w:unhideWhenUsed/>
    <w:pPr>
      <w:ind w:left="1984" w:right="0" w:firstLine="0"/>
      <w:spacing w:after="57"/>
    </w:pPr>
  </w:style>
  <w:style w:type="paragraph" w:styleId="1009">
    <w:name w:val="toc 9"/>
    <w:basedOn w:val="1012"/>
    <w:next w:val="1012"/>
    <w:uiPriority w:val="39"/>
    <w:unhideWhenUsed/>
    <w:pPr>
      <w:ind w:left="2268" w:right="0" w:firstLine="0"/>
      <w:spacing w:after="57"/>
    </w:pPr>
  </w:style>
  <w:style w:type="paragraph" w:styleId="1010">
    <w:name w:val="TOC Heading"/>
    <w:uiPriority w:val="39"/>
    <w:unhideWhenUsed/>
  </w:style>
  <w:style w:type="paragraph" w:styleId="1011">
    <w:name w:val="table of figures"/>
    <w:basedOn w:val="1012"/>
    <w:next w:val="1012"/>
    <w:uiPriority w:val="99"/>
    <w:unhideWhenUsed/>
    <w:pPr>
      <w:spacing w:after="0" w:afterAutospacing="0"/>
    </w:pPr>
  </w:style>
  <w:style w:type="paragraph" w:styleId="1012" w:default="1">
    <w:name w:val="Normal"/>
    <w:next w:val="1012"/>
    <w:link w:val="1012"/>
    <w:qFormat/>
    <w:pPr>
      <w:ind w:left="567" w:firstLine="699"/>
      <w:jc w:val="both"/>
      <w:spacing w:after="165" w:line="271" w:lineRule="auto"/>
    </w:pPr>
    <w:rPr>
      <w:rFonts w:ascii="Times New Roman" w:hAnsi="Times New Roman"/>
      <w:color w:val="000000"/>
      <w:sz w:val="26"/>
      <w:szCs w:val="22"/>
      <w:lang w:val="en-US" w:eastAsia="en-US" w:bidi="ar-SA"/>
    </w:rPr>
  </w:style>
  <w:style w:type="character" w:styleId="1013" w:default="1">
    <w:name w:val="Default Paragraph Font"/>
    <w:next w:val="1013"/>
    <w:link w:val="1012"/>
    <w:uiPriority w:val="1"/>
    <w:semiHidden/>
    <w:unhideWhenUsed/>
  </w:style>
  <w:style w:type="table" w:styleId="1014">
    <w:name w:val="Table Normal"/>
    <w:next w:val="1014"/>
    <w:link w:val="1012"/>
    <w:uiPriority w:val="99"/>
    <w:semiHidden/>
    <w:unhideWhenUsed/>
    <w:tblPr/>
  </w:style>
  <w:style w:type="numbering" w:styleId="1015" w:default="1">
    <w:name w:val="No List"/>
    <w:next w:val="1015"/>
    <w:link w:val="1012"/>
    <w:uiPriority w:val="99"/>
    <w:semiHidden/>
    <w:unhideWhenUsed/>
  </w:style>
  <w:style w:type="table" w:styleId="1016">
    <w:name w:val="TableGrid1"/>
    <w:next w:val="1016"/>
    <w:link w:val="1012"/>
    <w:rPr>
      <w:sz w:val="22"/>
      <w:szCs w:val="22"/>
      <w:lang w:val="en-US" w:eastAsia="en-US" w:bidi="ar-SA"/>
    </w:rPr>
    <w:tblPr/>
  </w:style>
  <w:style w:type="table" w:styleId="1017" w:default="1">
    <w:name w:val="Normal Table"/>
    <w:uiPriority w:val="99"/>
    <w:semiHidden/>
    <w:unhideWhenUsed/>
    <w:tblPr/>
  </w:style>
  <w:style w:type="paragraph" w:styleId="1018" w:customStyle="1">
    <w:name w:val="s_16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019" w:customStyle="1">
    <w:name w:val="Strong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image" Target="media/image1.png"/><Relationship Id="rId16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Р7-Офис/2024.4.2.691</Application>
  <DocSecurity>4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12</cp:revision>
  <dcterms:created xsi:type="dcterms:W3CDTF">2026-06-25T01:41:00Z</dcterms:created>
  <dcterms:modified xsi:type="dcterms:W3CDTF">2026-07-14T11:51:40Z</dcterms:modified>
  <cp:version>1048576</cp:version>
</cp:coreProperties>
</file>