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0958AD">
        <w:rPr>
          <w:sz w:val="28"/>
        </w:rPr>
        <w:t xml:space="preserve">29 </w:t>
      </w:r>
      <w:r w:rsidR="00DC45C9">
        <w:rPr>
          <w:sz w:val="28"/>
        </w:rPr>
        <w:t>дека</w:t>
      </w:r>
      <w:r w:rsidR="00330E86">
        <w:rPr>
          <w:sz w:val="28"/>
        </w:rPr>
        <w:t>бря</w:t>
      </w:r>
      <w:r w:rsidR="00AD5064">
        <w:rPr>
          <w:sz w:val="28"/>
        </w:rPr>
        <w:t xml:space="preserve"> </w:t>
      </w:r>
      <w:r>
        <w:rPr>
          <w:sz w:val="28"/>
        </w:rPr>
        <w:t>201</w:t>
      </w:r>
      <w:r w:rsidR="000B222A">
        <w:rPr>
          <w:sz w:val="28"/>
        </w:rPr>
        <w:t>7</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0958AD">
        <w:rPr>
          <w:sz w:val="28"/>
        </w:rPr>
        <w:t>679</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958AD" w:rsidRDefault="000958AD" w:rsidP="000958AD">
      <w:pPr>
        <w:shd w:val="clear" w:color="auto" w:fill="FFFFFF"/>
        <w:contextualSpacing/>
        <w:jc w:val="center"/>
        <w:rPr>
          <w:b/>
          <w:bCs/>
          <w:color w:val="000000"/>
          <w:sz w:val="28"/>
          <w:szCs w:val="28"/>
        </w:rPr>
      </w:pPr>
      <w:r w:rsidRPr="00C807AB">
        <w:rPr>
          <w:b/>
          <w:bCs/>
          <w:color w:val="000000"/>
          <w:sz w:val="28"/>
          <w:szCs w:val="28"/>
        </w:rPr>
        <w:t xml:space="preserve">Об утверждении муниципальной </w:t>
      </w:r>
      <w:r w:rsidRPr="00C807AB">
        <w:rPr>
          <w:b/>
          <w:sz w:val="28"/>
          <w:szCs w:val="28"/>
        </w:rPr>
        <w:t xml:space="preserve">подпрограммы «Обеспечение коммунальной техникой поселений Чернышевского района» </w:t>
      </w:r>
      <w:r w:rsidRPr="00C807AB">
        <w:rPr>
          <w:b/>
          <w:bCs/>
          <w:color w:val="000000"/>
          <w:sz w:val="28"/>
          <w:szCs w:val="28"/>
        </w:rPr>
        <w:t>муниципальной программы «Развитие  жилищно-коммунального комплекса  и обеспечение градостроительной деятельности на территории  Чернышевского района  на 2018 - 2020 годы»</w:t>
      </w:r>
    </w:p>
    <w:p w:rsidR="000958AD" w:rsidRPr="00C807AB" w:rsidRDefault="000958AD" w:rsidP="000958AD">
      <w:pPr>
        <w:shd w:val="clear" w:color="auto" w:fill="FFFFFF"/>
        <w:contextualSpacing/>
        <w:jc w:val="center"/>
        <w:rPr>
          <w:b/>
          <w:bCs/>
          <w:color w:val="000000"/>
          <w:sz w:val="28"/>
          <w:szCs w:val="28"/>
        </w:rPr>
      </w:pPr>
      <w:r w:rsidRPr="00C807AB">
        <w:rPr>
          <w:b/>
          <w:sz w:val="28"/>
          <w:szCs w:val="28"/>
        </w:rPr>
        <w:t xml:space="preserve"> </w:t>
      </w:r>
    </w:p>
    <w:p w:rsidR="000958AD" w:rsidRPr="00C807AB" w:rsidRDefault="000958AD" w:rsidP="000958AD">
      <w:pPr>
        <w:ind w:firstLine="709"/>
        <w:contextualSpacing/>
        <w:jc w:val="both"/>
        <w:rPr>
          <w:bCs/>
          <w:color w:val="000000"/>
          <w:sz w:val="28"/>
          <w:szCs w:val="28"/>
        </w:rPr>
      </w:pPr>
      <w:proofErr w:type="gramStart"/>
      <w:r w:rsidRPr="00C807AB">
        <w:rPr>
          <w:bCs/>
          <w:color w:val="000000"/>
          <w:sz w:val="28"/>
          <w:szCs w:val="28"/>
        </w:rPr>
        <w:t xml:space="preserve">В </w:t>
      </w:r>
      <w:r w:rsidRPr="00C807AB">
        <w:rPr>
          <w:color w:val="000000"/>
          <w:sz w:val="28"/>
          <w:szCs w:val="28"/>
        </w:rPr>
        <w:t xml:space="preserve">соответствии </w:t>
      </w:r>
      <w:r w:rsidRPr="00C807AB">
        <w:rPr>
          <w:sz w:val="28"/>
          <w:szCs w:val="28"/>
        </w:rPr>
        <w:t>с Постановлениями администрации муниципального района «Чернышевский район» от 30.12.2015 года №</w:t>
      </w:r>
      <w:r>
        <w:rPr>
          <w:sz w:val="28"/>
          <w:szCs w:val="28"/>
        </w:rPr>
        <w:t xml:space="preserve"> </w:t>
      </w:r>
      <w:r w:rsidRPr="00C807AB">
        <w:rPr>
          <w:sz w:val="28"/>
          <w:szCs w:val="28"/>
        </w:rPr>
        <w:t>1207 «</w:t>
      </w:r>
      <w:r w:rsidRPr="00C807AB">
        <w:rPr>
          <w:bCs/>
          <w:sz w:val="28"/>
          <w:szCs w:val="28"/>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807AB">
        <w:rPr>
          <w:sz w:val="28"/>
          <w:szCs w:val="28"/>
        </w:rPr>
        <w:t>» от  27.12</w:t>
      </w:r>
      <w:r w:rsidRPr="00C807AB">
        <w:rPr>
          <w:color w:val="000000"/>
          <w:sz w:val="28"/>
          <w:szCs w:val="28"/>
        </w:rPr>
        <w:t>.2016 года №</w:t>
      </w:r>
      <w:r>
        <w:rPr>
          <w:color w:val="000000"/>
          <w:sz w:val="28"/>
          <w:szCs w:val="28"/>
        </w:rPr>
        <w:t xml:space="preserve"> </w:t>
      </w:r>
      <w:r w:rsidRPr="00C807AB">
        <w:rPr>
          <w:color w:val="000000"/>
          <w:sz w:val="28"/>
          <w:szCs w:val="28"/>
        </w:rPr>
        <w:t xml:space="preserve">578 </w:t>
      </w:r>
      <w:r w:rsidRPr="00C807AB">
        <w:rPr>
          <w:bCs/>
          <w:sz w:val="28"/>
          <w:szCs w:val="28"/>
        </w:rPr>
        <w:t>«</w:t>
      </w:r>
      <w:r w:rsidRPr="00C807AB">
        <w:rPr>
          <w:sz w:val="28"/>
          <w:szCs w:val="28"/>
        </w:rPr>
        <w:t xml:space="preserve">Об утверждении Перечня муниципальных программ муниципального района «Чернышевский район» </w:t>
      </w:r>
      <w:r>
        <w:rPr>
          <w:sz w:val="28"/>
          <w:szCs w:val="28"/>
        </w:rPr>
        <w:t>(</w:t>
      </w:r>
      <w:r w:rsidRPr="00C807AB">
        <w:rPr>
          <w:sz w:val="28"/>
          <w:szCs w:val="28"/>
        </w:rPr>
        <w:t>в редакции Постановления администрации муниципального района «Чернышевский район» от 25.10.2017 года № 544</w:t>
      </w:r>
      <w:r>
        <w:rPr>
          <w:sz w:val="28"/>
          <w:szCs w:val="28"/>
        </w:rPr>
        <w:t>)</w:t>
      </w:r>
      <w:r w:rsidRPr="00C807AB">
        <w:rPr>
          <w:sz w:val="28"/>
          <w:szCs w:val="28"/>
        </w:rPr>
        <w:t xml:space="preserve">, </w:t>
      </w:r>
      <w:r w:rsidRPr="00C807AB">
        <w:rPr>
          <w:color w:val="000000"/>
          <w:sz w:val="28"/>
          <w:szCs w:val="28"/>
        </w:rPr>
        <w:t>руководствуясь статьей 25 Устава муниципального</w:t>
      </w:r>
      <w:proofErr w:type="gramEnd"/>
      <w:r w:rsidRPr="00C807AB">
        <w:rPr>
          <w:color w:val="000000"/>
          <w:sz w:val="28"/>
          <w:szCs w:val="28"/>
        </w:rPr>
        <w:t xml:space="preserve"> района «Чернышевский район», администрация муниципального района «Чернышевский район» </w:t>
      </w:r>
      <w:r>
        <w:rPr>
          <w:color w:val="000000"/>
          <w:sz w:val="28"/>
          <w:szCs w:val="28"/>
        </w:rPr>
        <w:t xml:space="preserve">  </w:t>
      </w:r>
      <w:r w:rsidRPr="00C807AB">
        <w:rPr>
          <w:b/>
          <w:bCs/>
          <w:color w:val="000000"/>
          <w:sz w:val="28"/>
          <w:szCs w:val="28"/>
        </w:rPr>
        <w:t>п</w:t>
      </w:r>
      <w:r>
        <w:rPr>
          <w:b/>
          <w:bCs/>
          <w:color w:val="000000"/>
          <w:sz w:val="28"/>
          <w:szCs w:val="28"/>
        </w:rPr>
        <w:t xml:space="preserve"> </w:t>
      </w:r>
      <w:proofErr w:type="gramStart"/>
      <w:r w:rsidRPr="00C807AB">
        <w:rPr>
          <w:b/>
          <w:bCs/>
          <w:color w:val="000000"/>
          <w:sz w:val="28"/>
          <w:szCs w:val="28"/>
        </w:rPr>
        <w:t>о</w:t>
      </w:r>
      <w:proofErr w:type="gramEnd"/>
      <w:r>
        <w:rPr>
          <w:b/>
          <w:bCs/>
          <w:color w:val="000000"/>
          <w:sz w:val="28"/>
          <w:szCs w:val="28"/>
        </w:rPr>
        <w:t xml:space="preserve"> </w:t>
      </w:r>
      <w:r w:rsidRPr="00C807AB">
        <w:rPr>
          <w:b/>
          <w:bCs/>
          <w:color w:val="000000"/>
          <w:sz w:val="28"/>
          <w:szCs w:val="28"/>
        </w:rPr>
        <w:t>с</w:t>
      </w:r>
      <w:r>
        <w:rPr>
          <w:b/>
          <w:bCs/>
          <w:color w:val="000000"/>
          <w:sz w:val="28"/>
          <w:szCs w:val="28"/>
        </w:rPr>
        <w:t xml:space="preserve"> </w:t>
      </w:r>
      <w:r w:rsidRPr="00C807AB">
        <w:rPr>
          <w:b/>
          <w:bCs/>
          <w:color w:val="000000"/>
          <w:sz w:val="28"/>
          <w:szCs w:val="28"/>
        </w:rPr>
        <w:t>т</w:t>
      </w:r>
      <w:r>
        <w:rPr>
          <w:b/>
          <w:bCs/>
          <w:color w:val="000000"/>
          <w:sz w:val="28"/>
          <w:szCs w:val="28"/>
        </w:rPr>
        <w:t xml:space="preserve"> </w:t>
      </w:r>
      <w:r w:rsidRPr="00C807AB">
        <w:rPr>
          <w:b/>
          <w:bCs/>
          <w:color w:val="000000"/>
          <w:sz w:val="28"/>
          <w:szCs w:val="28"/>
        </w:rPr>
        <w:t>а</w:t>
      </w:r>
      <w:r>
        <w:rPr>
          <w:b/>
          <w:bCs/>
          <w:color w:val="000000"/>
          <w:sz w:val="28"/>
          <w:szCs w:val="28"/>
        </w:rPr>
        <w:t xml:space="preserve"> </w:t>
      </w:r>
      <w:proofErr w:type="spellStart"/>
      <w:r w:rsidRPr="00C807AB">
        <w:rPr>
          <w:b/>
          <w:bCs/>
          <w:color w:val="000000"/>
          <w:sz w:val="28"/>
          <w:szCs w:val="28"/>
        </w:rPr>
        <w:t>н</w:t>
      </w:r>
      <w:proofErr w:type="spellEnd"/>
      <w:r>
        <w:rPr>
          <w:b/>
          <w:bCs/>
          <w:color w:val="000000"/>
          <w:sz w:val="28"/>
          <w:szCs w:val="28"/>
        </w:rPr>
        <w:t xml:space="preserve"> </w:t>
      </w:r>
      <w:r w:rsidRPr="00C807AB">
        <w:rPr>
          <w:b/>
          <w:bCs/>
          <w:color w:val="000000"/>
          <w:sz w:val="28"/>
          <w:szCs w:val="28"/>
        </w:rPr>
        <w:t>о</w:t>
      </w:r>
      <w:r>
        <w:rPr>
          <w:b/>
          <w:bCs/>
          <w:color w:val="000000"/>
          <w:sz w:val="28"/>
          <w:szCs w:val="28"/>
        </w:rPr>
        <w:t xml:space="preserve"> </w:t>
      </w:r>
      <w:r w:rsidRPr="00C807AB">
        <w:rPr>
          <w:b/>
          <w:bCs/>
          <w:color w:val="000000"/>
          <w:sz w:val="28"/>
          <w:szCs w:val="28"/>
        </w:rPr>
        <w:t>в</w:t>
      </w:r>
      <w:r>
        <w:rPr>
          <w:b/>
          <w:bCs/>
          <w:color w:val="000000"/>
          <w:sz w:val="28"/>
          <w:szCs w:val="28"/>
        </w:rPr>
        <w:t xml:space="preserve"> </w:t>
      </w:r>
      <w:r w:rsidRPr="00C807AB">
        <w:rPr>
          <w:b/>
          <w:bCs/>
          <w:color w:val="000000"/>
          <w:sz w:val="28"/>
          <w:szCs w:val="28"/>
        </w:rPr>
        <w:t>л</w:t>
      </w:r>
      <w:r>
        <w:rPr>
          <w:b/>
          <w:bCs/>
          <w:color w:val="000000"/>
          <w:sz w:val="28"/>
          <w:szCs w:val="28"/>
        </w:rPr>
        <w:t xml:space="preserve"> </w:t>
      </w:r>
      <w:r w:rsidRPr="00C807AB">
        <w:rPr>
          <w:b/>
          <w:bCs/>
          <w:color w:val="000000"/>
          <w:sz w:val="28"/>
          <w:szCs w:val="28"/>
        </w:rPr>
        <w:t>я</w:t>
      </w:r>
      <w:r>
        <w:rPr>
          <w:b/>
          <w:bCs/>
          <w:color w:val="000000"/>
          <w:sz w:val="28"/>
          <w:szCs w:val="28"/>
        </w:rPr>
        <w:t xml:space="preserve"> </w:t>
      </w:r>
      <w:r w:rsidRPr="00C807AB">
        <w:rPr>
          <w:b/>
          <w:bCs/>
          <w:color w:val="000000"/>
          <w:sz w:val="28"/>
          <w:szCs w:val="28"/>
        </w:rPr>
        <w:t>е</w:t>
      </w:r>
      <w:r>
        <w:rPr>
          <w:b/>
          <w:bCs/>
          <w:color w:val="000000"/>
          <w:sz w:val="28"/>
          <w:szCs w:val="28"/>
        </w:rPr>
        <w:t xml:space="preserve"> </w:t>
      </w:r>
      <w:r w:rsidRPr="00C807AB">
        <w:rPr>
          <w:b/>
          <w:bCs/>
          <w:color w:val="000000"/>
          <w:sz w:val="28"/>
          <w:szCs w:val="28"/>
        </w:rPr>
        <w:t>т</w:t>
      </w:r>
      <w:r w:rsidRPr="00C807AB">
        <w:rPr>
          <w:bCs/>
          <w:color w:val="000000"/>
          <w:sz w:val="28"/>
          <w:szCs w:val="28"/>
        </w:rPr>
        <w:t>:</w:t>
      </w:r>
    </w:p>
    <w:p w:rsidR="000958AD" w:rsidRPr="00C807AB" w:rsidRDefault="000958AD" w:rsidP="000958AD">
      <w:pPr>
        <w:shd w:val="clear" w:color="auto" w:fill="FFFFFF"/>
        <w:ind w:firstLine="709"/>
        <w:contextualSpacing/>
        <w:jc w:val="both"/>
      </w:pPr>
    </w:p>
    <w:p w:rsidR="000958AD" w:rsidRPr="00C807AB" w:rsidRDefault="000958AD" w:rsidP="000958AD">
      <w:pPr>
        <w:numPr>
          <w:ilvl w:val="0"/>
          <w:numId w:val="35"/>
        </w:numPr>
        <w:shd w:val="clear" w:color="auto" w:fill="FFFFFF"/>
        <w:tabs>
          <w:tab w:val="left" w:pos="993"/>
        </w:tabs>
        <w:autoSpaceDE w:val="0"/>
        <w:autoSpaceDN w:val="0"/>
        <w:adjustRightInd w:val="0"/>
        <w:ind w:left="0" w:firstLine="709"/>
        <w:contextualSpacing/>
        <w:jc w:val="both"/>
      </w:pPr>
      <w:r w:rsidRPr="00C807AB">
        <w:rPr>
          <w:color w:val="000000"/>
          <w:sz w:val="28"/>
          <w:szCs w:val="28"/>
        </w:rPr>
        <w:t xml:space="preserve">Утвердить муниципальную подпрограмму </w:t>
      </w:r>
      <w:r w:rsidRPr="00C807AB">
        <w:rPr>
          <w:sz w:val="28"/>
          <w:szCs w:val="28"/>
        </w:rPr>
        <w:t>«</w:t>
      </w:r>
      <w:r w:rsidRPr="00586034">
        <w:rPr>
          <w:sz w:val="28"/>
          <w:szCs w:val="28"/>
        </w:rPr>
        <w:t>Обеспечение коммунальной техникой поселений Чернышевского района»</w:t>
      </w:r>
      <w:r w:rsidRPr="00C807AB">
        <w:rPr>
          <w:sz w:val="28"/>
          <w:szCs w:val="28"/>
        </w:rPr>
        <w:t xml:space="preserve"> </w:t>
      </w:r>
      <w:r w:rsidRPr="00C807AB">
        <w:rPr>
          <w:bCs/>
          <w:color w:val="000000"/>
          <w:sz w:val="28"/>
          <w:szCs w:val="28"/>
        </w:rPr>
        <w:t>муниципальной программы «Развитие  жилищно-коммунального комплекса  и обеспечение градостроительной деятельности на территории  Чернышевского района  на 2018 - 2020 годы»</w:t>
      </w:r>
      <w:r>
        <w:rPr>
          <w:bCs/>
          <w:color w:val="000000"/>
          <w:sz w:val="28"/>
          <w:szCs w:val="28"/>
        </w:rPr>
        <w:t xml:space="preserve"> (прилагается)</w:t>
      </w:r>
      <w:r w:rsidRPr="00C807AB">
        <w:rPr>
          <w:color w:val="000000"/>
          <w:sz w:val="28"/>
          <w:szCs w:val="28"/>
        </w:rPr>
        <w:t>.</w:t>
      </w:r>
    </w:p>
    <w:p w:rsidR="000958AD" w:rsidRPr="00C807AB" w:rsidRDefault="000958AD" w:rsidP="000958AD">
      <w:pPr>
        <w:numPr>
          <w:ilvl w:val="0"/>
          <w:numId w:val="35"/>
        </w:numPr>
        <w:shd w:val="clear" w:color="auto" w:fill="FFFFFF"/>
        <w:tabs>
          <w:tab w:val="left" w:pos="993"/>
        </w:tabs>
        <w:autoSpaceDE w:val="0"/>
        <w:autoSpaceDN w:val="0"/>
        <w:adjustRightInd w:val="0"/>
        <w:ind w:left="0" w:firstLine="709"/>
        <w:contextualSpacing/>
        <w:jc w:val="both"/>
      </w:pPr>
      <w:r w:rsidRPr="00C807AB">
        <w:rPr>
          <w:sz w:val="28"/>
          <w:szCs w:val="28"/>
        </w:rPr>
        <w:t>Контроль исполнения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 Суханова А.В.</w:t>
      </w:r>
    </w:p>
    <w:p w:rsidR="000958AD" w:rsidRPr="00C807AB" w:rsidRDefault="000958AD" w:rsidP="000958AD">
      <w:pPr>
        <w:numPr>
          <w:ilvl w:val="0"/>
          <w:numId w:val="35"/>
        </w:numPr>
        <w:shd w:val="clear" w:color="auto" w:fill="FFFFFF"/>
        <w:tabs>
          <w:tab w:val="left" w:pos="993"/>
        </w:tabs>
        <w:autoSpaceDE w:val="0"/>
        <w:autoSpaceDN w:val="0"/>
        <w:adjustRightInd w:val="0"/>
        <w:ind w:left="0" w:right="1" w:firstLine="709"/>
        <w:contextualSpacing/>
        <w:jc w:val="both"/>
        <w:rPr>
          <w:bCs/>
          <w:sz w:val="28"/>
          <w:szCs w:val="28"/>
        </w:rPr>
      </w:pPr>
      <w:r w:rsidRPr="00C807AB">
        <w:rPr>
          <w:color w:val="000000"/>
          <w:sz w:val="28"/>
          <w:szCs w:val="28"/>
        </w:rPr>
        <w:t>Настоящее постановление вступает в силу после его обнародования.</w:t>
      </w:r>
    </w:p>
    <w:p w:rsidR="000958AD" w:rsidRPr="00C807AB" w:rsidRDefault="000958AD" w:rsidP="000958AD">
      <w:pPr>
        <w:numPr>
          <w:ilvl w:val="0"/>
          <w:numId w:val="35"/>
        </w:numPr>
        <w:shd w:val="clear" w:color="auto" w:fill="FFFFFF"/>
        <w:tabs>
          <w:tab w:val="left" w:pos="993"/>
        </w:tabs>
        <w:autoSpaceDE w:val="0"/>
        <w:autoSpaceDN w:val="0"/>
        <w:adjustRightInd w:val="0"/>
        <w:ind w:left="0" w:right="1" w:firstLine="709"/>
        <w:contextualSpacing/>
        <w:jc w:val="both"/>
        <w:rPr>
          <w:bCs/>
          <w:sz w:val="28"/>
          <w:szCs w:val="28"/>
        </w:rPr>
      </w:pPr>
      <w:r w:rsidRPr="00C807AB">
        <w:rPr>
          <w:color w:val="000000"/>
          <w:sz w:val="28"/>
          <w:szCs w:val="28"/>
        </w:rPr>
        <w:t xml:space="preserve">Настоящее постановление разместить на сайте </w:t>
      </w:r>
      <w:r w:rsidRPr="000958AD">
        <w:rPr>
          <w:color w:val="000000"/>
          <w:sz w:val="28"/>
          <w:szCs w:val="28"/>
          <w:lang w:val="en-US"/>
        </w:rPr>
        <w:t>www</w:t>
      </w:r>
      <w:r w:rsidRPr="000958AD">
        <w:rPr>
          <w:color w:val="000000"/>
          <w:sz w:val="28"/>
          <w:szCs w:val="28"/>
        </w:rPr>
        <w:t>.забайкальскийкрай</w:t>
      </w:r>
      <w:proofErr w:type="gramStart"/>
      <w:r w:rsidRPr="000958AD">
        <w:rPr>
          <w:color w:val="000000"/>
          <w:sz w:val="28"/>
          <w:szCs w:val="28"/>
        </w:rPr>
        <w:t>.р</w:t>
      </w:r>
      <w:proofErr w:type="gramEnd"/>
      <w:r w:rsidRPr="000958AD">
        <w:rPr>
          <w:color w:val="000000"/>
          <w:sz w:val="28"/>
          <w:szCs w:val="28"/>
        </w:rPr>
        <w:t>ф</w:t>
      </w:r>
      <w:r w:rsidRPr="00C807AB">
        <w:rPr>
          <w:color w:val="000000"/>
          <w:sz w:val="28"/>
          <w:szCs w:val="28"/>
        </w:rPr>
        <w:t xml:space="preserve"> в разделе Местное самоуправление, Чернышевский район.</w:t>
      </w:r>
    </w:p>
    <w:p w:rsidR="00E36B13" w:rsidRDefault="00E36B13" w:rsidP="00D97989">
      <w:pPr>
        <w:jc w:val="both"/>
        <w:rPr>
          <w:bCs/>
          <w:sz w:val="28"/>
          <w:szCs w:val="28"/>
        </w:rPr>
      </w:pPr>
    </w:p>
    <w:p w:rsidR="00D7679A" w:rsidRDefault="00D7679A" w:rsidP="005351C2">
      <w:pPr>
        <w:rPr>
          <w:spacing w:val="-1"/>
          <w:sz w:val="28"/>
          <w:szCs w:val="28"/>
        </w:rPr>
      </w:pPr>
    </w:p>
    <w:p w:rsidR="000958AD" w:rsidRDefault="000958AD"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0958AD" w:rsidRDefault="000958AD" w:rsidP="00BD7AC6">
      <w:pPr>
        <w:jc w:val="both"/>
        <w:rPr>
          <w:spacing w:val="-1"/>
          <w:sz w:val="28"/>
          <w:szCs w:val="28"/>
        </w:rPr>
      </w:pPr>
    </w:p>
    <w:p w:rsidR="000958AD" w:rsidRDefault="000958AD" w:rsidP="00BD7AC6">
      <w:pPr>
        <w:jc w:val="both"/>
        <w:rPr>
          <w:spacing w:val="-1"/>
          <w:sz w:val="28"/>
          <w:szCs w:val="28"/>
        </w:rPr>
      </w:pPr>
    </w:p>
    <w:p w:rsidR="000958AD" w:rsidRDefault="000958AD" w:rsidP="00BD7AC6">
      <w:pPr>
        <w:jc w:val="both"/>
        <w:rPr>
          <w:spacing w:val="-1"/>
          <w:sz w:val="28"/>
          <w:szCs w:val="28"/>
        </w:rPr>
      </w:pPr>
    </w:p>
    <w:p w:rsidR="000958AD" w:rsidRDefault="000958AD" w:rsidP="00BD7AC6">
      <w:pPr>
        <w:jc w:val="both"/>
        <w:rPr>
          <w:spacing w:val="-1"/>
          <w:sz w:val="28"/>
          <w:szCs w:val="28"/>
        </w:rPr>
      </w:pPr>
    </w:p>
    <w:p w:rsidR="000958AD" w:rsidRDefault="000958AD" w:rsidP="00BD7AC6">
      <w:pPr>
        <w:jc w:val="both"/>
        <w:rPr>
          <w:spacing w:val="-1"/>
          <w:sz w:val="28"/>
          <w:szCs w:val="28"/>
        </w:rPr>
      </w:pPr>
    </w:p>
    <w:p w:rsidR="000958AD" w:rsidRDefault="000958AD" w:rsidP="000958AD">
      <w:pPr>
        <w:tabs>
          <w:tab w:val="left" w:pos="6795"/>
        </w:tabs>
        <w:contextualSpacing/>
        <w:jc w:val="right"/>
      </w:pPr>
      <w:r>
        <w:t>УТВЕРЖДЕНА</w:t>
      </w:r>
    </w:p>
    <w:p w:rsidR="000958AD" w:rsidRPr="00C807AB" w:rsidRDefault="000958AD" w:rsidP="000958AD">
      <w:pPr>
        <w:tabs>
          <w:tab w:val="left" w:pos="6795"/>
        </w:tabs>
        <w:contextualSpacing/>
        <w:jc w:val="right"/>
      </w:pPr>
      <w:r w:rsidRPr="00C807AB">
        <w:t>постановлени</w:t>
      </w:r>
      <w:r>
        <w:t>ем</w:t>
      </w:r>
      <w:r w:rsidRPr="00C807AB">
        <w:t xml:space="preserve"> администрации</w:t>
      </w:r>
    </w:p>
    <w:p w:rsidR="000958AD" w:rsidRPr="00C807AB" w:rsidRDefault="000958AD" w:rsidP="000958AD">
      <w:pPr>
        <w:tabs>
          <w:tab w:val="left" w:pos="6795"/>
        </w:tabs>
        <w:contextualSpacing/>
        <w:jc w:val="right"/>
      </w:pPr>
      <w:r w:rsidRPr="00C807AB">
        <w:t>МР «Чернышевский район»</w:t>
      </w:r>
    </w:p>
    <w:p w:rsidR="000958AD" w:rsidRPr="00C807AB" w:rsidRDefault="000958AD" w:rsidP="000958AD">
      <w:pPr>
        <w:contextualSpacing/>
        <w:jc w:val="right"/>
        <w:rPr>
          <w:color w:val="FF0000"/>
          <w:lang w:eastAsia="en-US"/>
        </w:rPr>
      </w:pPr>
      <w:r>
        <w:t>от 29 декабря</w:t>
      </w:r>
      <w:r w:rsidRPr="00C807AB">
        <w:t xml:space="preserve"> 2017 г.</w:t>
      </w:r>
      <w:r>
        <w:t xml:space="preserve"> № 679</w:t>
      </w:r>
    </w:p>
    <w:p w:rsidR="000958AD" w:rsidRPr="00C807AB" w:rsidRDefault="000958AD" w:rsidP="000958AD">
      <w:pPr>
        <w:tabs>
          <w:tab w:val="left" w:pos="8280"/>
        </w:tabs>
        <w:contextualSpacing/>
        <w:jc w:val="both"/>
        <w:rPr>
          <w:b/>
          <w:lang w:eastAsia="en-US"/>
        </w:rPr>
      </w:pPr>
      <w:r w:rsidRPr="00C807AB">
        <w:rPr>
          <w:b/>
          <w:lang w:eastAsia="en-US"/>
        </w:rPr>
        <w:tab/>
      </w:r>
    </w:p>
    <w:p w:rsidR="000958AD" w:rsidRPr="00C807AB" w:rsidRDefault="000958AD" w:rsidP="000958AD">
      <w:pPr>
        <w:contextualSpacing/>
        <w:jc w:val="center"/>
        <w:rPr>
          <w:b/>
          <w:bCs/>
          <w:color w:val="000000"/>
        </w:rPr>
      </w:pPr>
      <w:r w:rsidRPr="00C807AB">
        <w:rPr>
          <w:b/>
        </w:rPr>
        <w:t xml:space="preserve">Подпрограмма «Обеспечение коммунальной техникой поселений Чернышевского района» </w:t>
      </w:r>
      <w:r w:rsidRPr="00C807AB">
        <w:rPr>
          <w:b/>
          <w:bCs/>
          <w:color w:val="000000"/>
        </w:rPr>
        <w:t>муниципальной программы «Развитие  жилищно-коммунального комплекса  и обеспечение градостроительной деятельности на территории  Чернышевского района  на 2018 - 2020 годы»</w:t>
      </w:r>
    </w:p>
    <w:p w:rsidR="000958AD" w:rsidRPr="00C807AB" w:rsidRDefault="000958AD" w:rsidP="000958AD">
      <w:pPr>
        <w:pStyle w:val="formattext"/>
        <w:shd w:val="clear" w:color="auto" w:fill="FFFFFF"/>
        <w:spacing w:before="0" w:beforeAutospacing="0" w:after="0" w:afterAutospacing="0"/>
        <w:contextualSpacing/>
        <w:jc w:val="both"/>
        <w:textAlignment w:val="baseline"/>
        <w:rPr>
          <w:b/>
          <w:spacing w:val="2"/>
        </w:rPr>
      </w:pPr>
    </w:p>
    <w:p w:rsidR="000958AD" w:rsidRPr="00C807AB" w:rsidRDefault="000958AD" w:rsidP="000958AD">
      <w:pPr>
        <w:pStyle w:val="formattext"/>
        <w:shd w:val="clear" w:color="auto" w:fill="FFFFFF"/>
        <w:spacing w:before="0" w:beforeAutospacing="0" w:after="0" w:afterAutospacing="0"/>
        <w:contextualSpacing/>
        <w:jc w:val="center"/>
        <w:textAlignment w:val="baseline"/>
        <w:rPr>
          <w:b/>
          <w:spacing w:val="2"/>
        </w:rPr>
      </w:pPr>
      <w:r w:rsidRPr="00C807AB">
        <w:rPr>
          <w:b/>
          <w:spacing w:val="2"/>
        </w:rPr>
        <w:t>Паспорт подпрограммы</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6379"/>
      </w:tblGrid>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t>Разделы  паспорта подпрограммы</w:t>
            </w:r>
          </w:p>
        </w:tc>
        <w:tc>
          <w:tcPr>
            <w:tcW w:w="637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contextualSpacing/>
              <w:jc w:val="both"/>
              <w:rPr>
                <w:spacing w:val="-1"/>
              </w:rPr>
            </w:pPr>
            <w:r w:rsidRPr="00C807AB">
              <w:rPr>
                <w:spacing w:val="-1"/>
              </w:rPr>
              <w:t>Содержание раздела</w:t>
            </w:r>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t>Наименование программы</w:t>
            </w:r>
          </w:p>
        </w:tc>
        <w:tc>
          <w:tcPr>
            <w:tcW w:w="637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contextualSpacing/>
              <w:jc w:val="both"/>
              <w:rPr>
                <w:spacing w:val="-1"/>
              </w:rPr>
            </w:pPr>
            <w:r w:rsidRPr="00C807AB">
              <w:rPr>
                <w:spacing w:val="-1"/>
              </w:rPr>
              <w:t>Муниципальная программа  «Развитие  жилищно-коммунального комплекса  и обеспечение градостроительной деятельности на территории  Чернышевского района  на 2018 - 2020 годы»</w:t>
            </w:r>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t xml:space="preserve">Наименование подпрограммы </w:t>
            </w:r>
          </w:p>
        </w:tc>
        <w:tc>
          <w:tcPr>
            <w:tcW w:w="637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contextualSpacing/>
              <w:jc w:val="both"/>
              <w:rPr>
                <w:spacing w:val="-1"/>
              </w:rPr>
            </w:pPr>
            <w:r w:rsidRPr="00C807AB">
              <w:rPr>
                <w:spacing w:val="-1"/>
              </w:rPr>
              <w:t xml:space="preserve"> Подпрограмма «</w:t>
            </w:r>
            <w:r w:rsidRPr="00C807AB">
              <w:t>Обеспечение коммунальной техникой поселений Чернышевского района</w:t>
            </w:r>
            <w:r w:rsidRPr="00C807AB">
              <w:rPr>
                <w:spacing w:val="-1"/>
              </w:rPr>
              <w:t>»</w:t>
            </w:r>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t>Основание для разработки подпрограммы</w:t>
            </w:r>
          </w:p>
          <w:p w:rsidR="000958AD" w:rsidRPr="00C807AB" w:rsidRDefault="000958AD" w:rsidP="00AC2D3A">
            <w:pPr>
              <w:shd w:val="clear" w:color="auto" w:fill="FFFFFF"/>
              <w:ind w:left="5"/>
              <w:contextualSpacing/>
              <w:jc w:val="both"/>
              <w:rPr>
                <w:spacing w:val="-4"/>
              </w:rPr>
            </w:pPr>
          </w:p>
        </w:tc>
        <w:tc>
          <w:tcPr>
            <w:tcW w:w="6379" w:type="dxa"/>
            <w:tcBorders>
              <w:top w:val="single" w:sz="4" w:space="0" w:color="000000"/>
              <w:left w:val="single" w:sz="4" w:space="0" w:color="000000"/>
              <w:bottom w:val="single" w:sz="4" w:space="0" w:color="000000"/>
              <w:right w:val="single" w:sz="4" w:space="0" w:color="000000"/>
            </w:tcBorders>
          </w:tcPr>
          <w:p w:rsidR="000958AD" w:rsidRPr="00C807AB" w:rsidRDefault="000958AD" w:rsidP="000958AD">
            <w:pPr>
              <w:contextualSpacing/>
              <w:jc w:val="both"/>
              <w:rPr>
                <w:spacing w:val="-1"/>
              </w:rPr>
            </w:pPr>
            <w:proofErr w:type="gramStart"/>
            <w:r w:rsidRPr="00C807AB">
              <w:rPr>
                <w:spacing w:val="-1"/>
              </w:rPr>
              <w:t>Постановления администрации муниципального района «Чернышевский район» от 30.12.2015 года №</w:t>
            </w:r>
            <w:r>
              <w:rPr>
                <w:spacing w:val="-1"/>
              </w:rPr>
              <w:t xml:space="preserve"> </w:t>
            </w:r>
            <w:r w:rsidRPr="00C807AB">
              <w:rPr>
                <w:spacing w:val="-1"/>
              </w:rPr>
              <w:t>1207 «О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Pr>
                <w:spacing w:val="-1"/>
              </w:rPr>
              <w:t>,</w:t>
            </w:r>
            <w:r w:rsidRPr="00C807AB">
              <w:rPr>
                <w:spacing w:val="-1"/>
              </w:rPr>
              <w:t xml:space="preserve"> от 27.12.2016 года №</w:t>
            </w:r>
            <w:r>
              <w:rPr>
                <w:spacing w:val="-1"/>
              </w:rPr>
              <w:t xml:space="preserve"> </w:t>
            </w:r>
            <w:r w:rsidRPr="00C807AB">
              <w:rPr>
                <w:spacing w:val="-1"/>
              </w:rPr>
              <w:t xml:space="preserve">578 «Об утверждении Перечня муниципальных программ муниципального района «Чернышевский район» </w:t>
            </w:r>
            <w:r>
              <w:rPr>
                <w:spacing w:val="-1"/>
              </w:rPr>
              <w:t>(</w:t>
            </w:r>
            <w:r w:rsidRPr="00C807AB">
              <w:rPr>
                <w:spacing w:val="-1"/>
              </w:rPr>
              <w:t xml:space="preserve">в редакции </w:t>
            </w:r>
            <w:r>
              <w:rPr>
                <w:spacing w:val="-1"/>
              </w:rPr>
              <w:t>п</w:t>
            </w:r>
            <w:r w:rsidRPr="00C807AB">
              <w:rPr>
                <w:spacing w:val="-1"/>
              </w:rPr>
              <w:t>остановления администрации муниципального района «Чернышевский район» от 25.10.2017 года № 544</w:t>
            </w:r>
            <w:r>
              <w:rPr>
                <w:spacing w:val="-1"/>
              </w:rPr>
              <w:t>).</w:t>
            </w:r>
            <w:proofErr w:type="gramEnd"/>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t>Ответственный исполнитель подпрограммы</w:t>
            </w:r>
          </w:p>
        </w:tc>
        <w:tc>
          <w:tcPr>
            <w:tcW w:w="637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contextualSpacing/>
              <w:jc w:val="both"/>
              <w:rPr>
                <w:spacing w:val="-1"/>
              </w:rPr>
            </w:pPr>
            <w:r w:rsidRPr="00C807AB">
              <w:rPr>
                <w:spacing w:val="-1"/>
              </w:rPr>
              <w:t>Отдел жилищно-коммунального хозяйства и капитального строительства администрации МР «Чернышевский район»</w:t>
            </w:r>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t>Разработчик подпрограммы</w:t>
            </w:r>
          </w:p>
        </w:tc>
        <w:tc>
          <w:tcPr>
            <w:tcW w:w="637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contextualSpacing/>
              <w:jc w:val="both"/>
              <w:rPr>
                <w:spacing w:val="-1"/>
              </w:rPr>
            </w:pPr>
            <w:r w:rsidRPr="00C807AB">
              <w:rPr>
                <w:spacing w:val="-1"/>
              </w:rPr>
              <w:t>Отдел жилищно-коммунального хозяйства и капитального строительства администрации МР «Чернышевский район»</w:t>
            </w:r>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t>Соисполнители подпрограммы</w:t>
            </w:r>
          </w:p>
        </w:tc>
        <w:tc>
          <w:tcPr>
            <w:tcW w:w="637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contextualSpacing/>
              <w:jc w:val="both"/>
              <w:rPr>
                <w:spacing w:val="-1"/>
              </w:rPr>
            </w:pPr>
            <w:r w:rsidRPr="00C807AB">
              <w:rPr>
                <w:spacing w:val="-1"/>
              </w:rPr>
              <w:t xml:space="preserve">Отдел муниципального имущества и земельных отношений администрации МР «Чернышевский район», </w:t>
            </w:r>
            <w:r>
              <w:rPr>
                <w:spacing w:val="-1"/>
              </w:rPr>
              <w:t>с</w:t>
            </w:r>
            <w:r w:rsidRPr="00C807AB">
              <w:rPr>
                <w:spacing w:val="-1"/>
              </w:rPr>
              <w:t>ельские и городские поселения МР «Чернышевский район»</w:t>
            </w:r>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t>Цель (цели) подпрограммы</w:t>
            </w:r>
          </w:p>
        </w:tc>
        <w:tc>
          <w:tcPr>
            <w:tcW w:w="6379" w:type="dxa"/>
            <w:tcBorders>
              <w:top w:val="single" w:sz="4" w:space="0" w:color="000000"/>
              <w:left w:val="single" w:sz="4" w:space="0" w:color="000000"/>
              <w:bottom w:val="single" w:sz="4" w:space="0" w:color="000000"/>
              <w:right w:val="single" w:sz="4" w:space="0" w:color="000000"/>
            </w:tcBorders>
          </w:tcPr>
          <w:p w:rsidR="000958AD" w:rsidRPr="0082500B" w:rsidRDefault="000958AD" w:rsidP="00AC2D3A">
            <w:pPr>
              <w:shd w:val="clear" w:color="auto" w:fill="FFFFFF"/>
              <w:tabs>
                <w:tab w:val="left" w:pos="598"/>
              </w:tabs>
              <w:contextualSpacing/>
            </w:pPr>
            <w:r w:rsidRPr="0082500B">
              <w:t>- снижени</w:t>
            </w:r>
            <w:r>
              <w:t>е</w:t>
            </w:r>
            <w:r w:rsidRPr="0082500B">
              <w:t xml:space="preserve"> себестоимости коммунальных услуг за счет уменьшения затрат на их производство и внедрения ресурсосберегающих технологий, </w:t>
            </w:r>
          </w:p>
          <w:p w:rsidR="000958AD" w:rsidRPr="00C807AB" w:rsidRDefault="000958AD" w:rsidP="00AC2D3A">
            <w:pPr>
              <w:pStyle w:val="formattext"/>
              <w:spacing w:before="0" w:beforeAutospacing="0" w:after="0" w:afterAutospacing="0"/>
              <w:contextualSpacing/>
              <w:jc w:val="both"/>
            </w:pPr>
            <w:r w:rsidRPr="0082500B">
              <w:t>- обновлени</w:t>
            </w:r>
            <w:r>
              <w:t>е</w:t>
            </w:r>
            <w:r w:rsidRPr="0082500B">
              <w:t xml:space="preserve"> и модернизаци</w:t>
            </w:r>
            <w:r>
              <w:t>я</w:t>
            </w:r>
            <w:r w:rsidRPr="0082500B">
              <w:t xml:space="preserve"> основных фондов коммунального комплекса в соответствии с соврем</w:t>
            </w:r>
            <w:r>
              <w:t>енными требованиями к технологиям</w:t>
            </w:r>
            <w:r w:rsidRPr="0082500B">
              <w:t xml:space="preserve"> и качеству услуг и улучшения экологической ситуации в районе</w:t>
            </w:r>
            <w:r>
              <w:t>.</w:t>
            </w:r>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t>Задачи подпрограммы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0958AD" w:rsidRDefault="000958AD" w:rsidP="00AC2D3A">
            <w:pPr>
              <w:contextualSpacing/>
              <w:jc w:val="both"/>
            </w:pPr>
            <w:r>
              <w:t>-</w:t>
            </w:r>
            <w:r w:rsidRPr="0082500B">
              <w:t xml:space="preserve"> организация функционирования мест временного хранения твердых бытовых отходов в сельских поселениях муниципального района "</w:t>
            </w:r>
            <w:r>
              <w:t>Чернышевский</w:t>
            </w:r>
            <w:r w:rsidRPr="0082500B">
              <w:t xml:space="preserve"> район" Забайкальского края</w:t>
            </w:r>
            <w:r>
              <w:t xml:space="preserve"> </w:t>
            </w:r>
          </w:p>
          <w:p w:rsidR="000958AD" w:rsidRPr="0082500B" w:rsidRDefault="000958AD" w:rsidP="00AC2D3A">
            <w:pPr>
              <w:contextualSpacing/>
              <w:jc w:val="both"/>
            </w:pPr>
            <w:r>
              <w:t xml:space="preserve">- </w:t>
            </w:r>
            <w:r w:rsidRPr="0082500B">
              <w:t>эффективное и надежное функционирование коммунальной сферы</w:t>
            </w:r>
            <w:r>
              <w:t xml:space="preserve"> района</w:t>
            </w:r>
            <w:r w:rsidRPr="0082500B">
              <w:t xml:space="preserve">; </w:t>
            </w:r>
          </w:p>
          <w:p w:rsidR="000958AD" w:rsidRPr="0082500B" w:rsidRDefault="000958AD" w:rsidP="00AC2D3A">
            <w:pPr>
              <w:contextualSpacing/>
              <w:jc w:val="both"/>
              <w:rPr>
                <w:spacing w:val="-1"/>
              </w:rPr>
            </w:pPr>
            <w:r w:rsidRPr="0082500B">
              <w:t>- обновление парка техники.</w:t>
            </w:r>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Pr>
                <w:spacing w:val="-4"/>
              </w:rPr>
              <w:t>С</w:t>
            </w:r>
            <w:r w:rsidRPr="00C807AB">
              <w:rPr>
                <w:spacing w:val="-4"/>
              </w:rPr>
              <w:t>роки реализации подпрограммы</w:t>
            </w:r>
          </w:p>
        </w:tc>
        <w:tc>
          <w:tcPr>
            <w:tcW w:w="6379" w:type="dxa"/>
            <w:tcBorders>
              <w:top w:val="single" w:sz="4" w:space="0" w:color="000000"/>
              <w:left w:val="single" w:sz="4" w:space="0" w:color="000000"/>
              <w:bottom w:val="single" w:sz="4" w:space="0" w:color="000000"/>
              <w:right w:val="single" w:sz="4" w:space="0" w:color="000000"/>
            </w:tcBorders>
          </w:tcPr>
          <w:p w:rsidR="000958AD" w:rsidRPr="0082500B" w:rsidRDefault="000958AD" w:rsidP="00AC2D3A">
            <w:pPr>
              <w:contextualSpacing/>
              <w:jc w:val="both"/>
              <w:rPr>
                <w:spacing w:val="-1"/>
              </w:rPr>
            </w:pPr>
            <w:r w:rsidRPr="0082500B">
              <w:rPr>
                <w:spacing w:val="-1"/>
              </w:rPr>
              <w:t>2018-2020 годы в один этап</w:t>
            </w:r>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t xml:space="preserve">Целевые индикаторы и показатели </w:t>
            </w:r>
          </w:p>
        </w:tc>
        <w:tc>
          <w:tcPr>
            <w:tcW w:w="6379" w:type="dxa"/>
            <w:tcBorders>
              <w:top w:val="single" w:sz="4" w:space="0" w:color="000000"/>
              <w:left w:val="single" w:sz="4" w:space="0" w:color="000000"/>
              <w:bottom w:val="single" w:sz="4" w:space="0" w:color="000000"/>
              <w:right w:val="single" w:sz="4" w:space="0" w:color="000000"/>
            </w:tcBorders>
          </w:tcPr>
          <w:p w:rsidR="000958AD" w:rsidRPr="00FE6826" w:rsidRDefault="000958AD" w:rsidP="00AC2D3A">
            <w:pPr>
              <w:contextualSpacing/>
              <w:jc w:val="both"/>
              <w:rPr>
                <w:spacing w:val="-1"/>
              </w:rPr>
            </w:pPr>
            <w:r w:rsidRPr="00FE6826">
              <w:t>Количество автомашин водовозки на базе ГАЗ-330</w:t>
            </w:r>
            <w:r>
              <w:t>9</w:t>
            </w:r>
            <w:r w:rsidRPr="00FE6826">
              <w:t xml:space="preserve"> к приобретению в период 2018-2020 год</w:t>
            </w:r>
            <w:r>
              <w:t xml:space="preserve">ов </w:t>
            </w:r>
            <w:r w:rsidRPr="00FE6826">
              <w:t>-  2,</w:t>
            </w:r>
            <w:r w:rsidRPr="00FE6826">
              <w:rPr>
                <w:spacing w:val="-1"/>
              </w:rPr>
              <w:t xml:space="preserve"> в том числе </w:t>
            </w:r>
            <w:r w:rsidRPr="00FE6826">
              <w:rPr>
                <w:spacing w:val="-1"/>
              </w:rPr>
              <w:lastRenderedPageBreak/>
              <w:t>по годам:</w:t>
            </w:r>
          </w:p>
          <w:p w:rsidR="000958AD" w:rsidRPr="00FE6826" w:rsidRDefault="000958AD" w:rsidP="00AC2D3A">
            <w:pPr>
              <w:contextualSpacing/>
              <w:jc w:val="both"/>
              <w:rPr>
                <w:spacing w:val="-1"/>
              </w:rPr>
            </w:pPr>
            <w:r w:rsidRPr="00FE6826">
              <w:rPr>
                <w:spacing w:val="-1"/>
              </w:rPr>
              <w:t>2018 – 0,</w:t>
            </w:r>
          </w:p>
          <w:p w:rsidR="000958AD" w:rsidRPr="00FE6826" w:rsidRDefault="000958AD" w:rsidP="00AC2D3A">
            <w:pPr>
              <w:contextualSpacing/>
              <w:jc w:val="both"/>
              <w:rPr>
                <w:spacing w:val="-1"/>
              </w:rPr>
            </w:pPr>
            <w:r w:rsidRPr="00FE6826">
              <w:rPr>
                <w:spacing w:val="-1"/>
              </w:rPr>
              <w:t>2019 – 1,</w:t>
            </w:r>
          </w:p>
          <w:p w:rsidR="000958AD" w:rsidRPr="0082500B" w:rsidRDefault="000958AD" w:rsidP="00AC2D3A">
            <w:pPr>
              <w:contextualSpacing/>
              <w:jc w:val="both"/>
              <w:rPr>
                <w:spacing w:val="-1"/>
              </w:rPr>
            </w:pPr>
            <w:r w:rsidRPr="00FE6826">
              <w:rPr>
                <w:spacing w:val="-1"/>
              </w:rPr>
              <w:t>2020 – 1.</w:t>
            </w:r>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lastRenderedPageBreak/>
              <w:t>Объем финансирования  из районного бюджета подпрограммы (с расшифровкой по годам ее реализации), а также прогнозные объемы средств, привлекаемых из других источников</w:t>
            </w:r>
          </w:p>
        </w:tc>
        <w:tc>
          <w:tcPr>
            <w:tcW w:w="6379" w:type="dxa"/>
            <w:tcBorders>
              <w:top w:val="single" w:sz="4" w:space="0" w:color="000000"/>
              <w:left w:val="single" w:sz="4" w:space="0" w:color="000000"/>
              <w:bottom w:val="single" w:sz="4" w:space="0" w:color="000000"/>
              <w:right w:val="single" w:sz="4" w:space="0" w:color="000000"/>
            </w:tcBorders>
          </w:tcPr>
          <w:p w:rsidR="000958AD" w:rsidRDefault="000958AD" w:rsidP="00AC2D3A">
            <w:pPr>
              <w:contextualSpacing/>
              <w:jc w:val="both"/>
            </w:pPr>
            <w:r w:rsidRPr="00937837">
              <w:t xml:space="preserve">Источниками финансирования </w:t>
            </w:r>
            <w:r>
              <w:t>подп</w:t>
            </w:r>
            <w:r w:rsidRPr="00937837">
              <w:t xml:space="preserve">рограммы являются средства </w:t>
            </w:r>
            <w:r>
              <w:t>бюджета субъекта РФ</w:t>
            </w:r>
            <w:r w:rsidRPr="00937837">
              <w:t xml:space="preserve"> и местн</w:t>
            </w:r>
            <w:r>
              <w:t>ых</w:t>
            </w:r>
            <w:r w:rsidRPr="00937837">
              <w:t xml:space="preserve"> бюджетов. Общий объем финансирования мероприятий </w:t>
            </w:r>
            <w:r>
              <w:t>подпрограммы</w:t>
            </w:r>
            <w:r w:rsidRPr="00937837">
              <w:t xml:space="preserve"> составляет </w:t>
            </w:r>
            <w:r w:rsidRPr="00861185">
              <w:t>4000,0</w:t>
            </w:r>
            <w:r w:rsidRPr="00937837">
              <w:t xml:space="preserve"> тыс. руб., в том числе: </w:t>
            </w:r>
          </w:p>
          <w:p w:rsidR="000958AD" w:rsidRPr="0082500B" w:rsidRDefault="000958AD" w:rsidP="00AC2D3A">
            <w:pPr>
              <w:contextualSpacing/>
              <w:jc w:val="both"/>
              <w:rPr>
                <w:spacing w:val="-1"/>
              </w:rPr>
            </w:pPr>
            <w:r w:rsidRPr="00937837">
              <w:t>бюджет</w:t>
            </w:r>
            <w:r>
              <w:t xml:space="preserve"> Забайкальского края</w:t>
            </w:r>
            <w:r w:rsidRPr="00937837">
              <w:t xml:space="preserve"> </w:t>
            </w:r>
            <w:r w:rsidRPr="00861185">
              <w:t>–</w:t>
            </w:r>
            <w:r w:rsidRPr="00937837">
              <w:t xml:space="preserve"> </w:t>
            </w:r>
            <w:r w:rsidRPr="00861185">
              <w:t>2 800,0</w:t>
            </w:r>
            <w:r w:rsidRPr="00937837">
              <w:t xml:space="preserve"> тыс. руб. (70%); бю</w:t>
            </w:r>
            <w:r w:rsidRPr="00861185">
              <w:t>джета муниципального района</w:t>
            </w:r>
            <w:r w:rsidRPr="00937837">
              <w:t xml:space="preserve"> </w:t>
            </w:r>
            <w:r w:rsidRPr="00861185">
              <w:t>–</w:t>
            </w:r>
            <w:r w:rsidRPr="00937837">
              <w:t xml:space="preserve"> </w:t>
            </w:r>
            <w:r w:rsidRPr="00861185">
              <w:t>1 200,0</w:t>
            </w:r>
            <w:r w:rsidRPr="00937837">
              <w:t xml:space="preserve"> тыс. руб. (30%)</w:t>
            </w:r>
            <w:r>
              <w:t>.</w:t>
            </w:r>
          </w:p>
        </w:tc>
      </w:tr>
      <w:tr w:rsidR="000958AD" w:rsidRPr="00C807AB" w:rsidTr="00AC2D3A">
        <w:tc>
          <w:tcPr>
            <w:tcW w:w="311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shd w:val="clear" w:color="auto" w:fill="FFFFFF"/>
              <w:ind w:left="5"/>
              <w:contextualSpacing/>
              <w:jc w:val="both"/>
              <w:rPr>
                <w:spacing w:val="-4"/>
              </w:rPr>
            </w:pPr>
            <w:r w:rsidRPr="00C807AB">
              <w:rPr>
                <w:spacing w:val="-4"/>
              </w:rPr>
              <w:t>Ожидаемые конечные результаты реализации подпрограммы</w:t>
            </w:r>
          </w:p>
        </w:tc>
        <w:tc>
          <w:tcPr>
            <w:tcW w:w="6379" w:type="dxa"/>
            <w:tcBorders>
              <w:top w:val="single" w:sz="4" w:space="0" w:color="000000"/>
              <w:left w:val="single" w:sz="4" w:space="0" w:color="000000"/>
              <w:bottom w:val="single" w:sz="4" w:space="0" w:color="000000"/>
              <w:right w:val="single" w:sz="4" w:space="0" w:color="000000"/>
            </w:tcBorders>
          </w:tcPr>
          <w:p w:rsidR="000958AD" w:rsidRPr="00C807AB" w:rsidRDefault="000958AD" w:rsidP="00AC2D3A">
            <w:pPr>
              <w:pStyle w:val="formattext"/>
              <w:spacing w:before="0" w:beforeAutospacing="0" w:after="0" w:afterAutospacing="0"/>
              <w:contextualSpacing/>
              <w:jc w:val="both"/>
            </w:pPr>
            <w:r w:rsidRPr="00937837">
              <w:t xml:space="preserve">Реализация </w:t>
            </w:r>
            <w:r>
              <w:t>подпрограммы</w:t>
            </w:r>
            <w:r w:rsidRPr="00937837">
              <w:t xml:space="preserve"> должна обеспечить увеличение надежности техники, устранение преждевременных аварий, в случае их появления обеспечение быстроты возобновления нормального функционирования коммунальных систем. Показатели социально-экономической эффективности: - уменьшение расходов на содержание парка коммунальной техники</w:t>
            </w:r>
            <w:r>
              <w:t>. Качественное обеспечение населения водой.</w:t>
            </w:r>
          </w:p>
        </w:tc>
      </w:tr>
    </w:tbl>
    <w:p w:rsidR="000958AD" w:rsidRPr="00C807AB" w:rsidRDefault="000958AD" w:rsidP="000958AD">
      <w:pPr>
        <w:shd w:val="clear" w:color="auto" w:fill="FFFFFF"/>
        <w:ind w:left="1123"/>
        <w:contextualSpacing/>
        <w:jc w:val="both"/>
        <w:rPr>
          <w:b/>
          <w:bCs/>
          <w:spacing w:val="-1"/>
        </w:rPr>
      </w:pPr>
    </w:p>
    <w:p w:rsidR="000958AD" w:rsidRPr="006E7C4C" w:rsidRDefault="000958AD" w:rsidP="000958AD">
      <w:pPr>
        <w:pStyle w:val="aa"/>
        <w:numPr>
          <w:ilvl w:val="0"/>
          <w:numId w:val="36"/>
        </w:numPr>
        <w:shd w:val="clear" w:color="auto" w:fill="FFFFFF"/>
        <w:suppressAutoHyphens w:val="0"/>
        <w:contextualSpacing/>
        <w:jc w:val="center"/>
        <w:outlineLvl w:val="3"/>
        <w:rPr>
          <w:b/>
          <w:bCs/>
          <w:color w:val="000000"/>
        </w:rPr>
      </w:pPr>
      <w:r w:rsidRPr="006E7C4C">
        <w:rPr>
          <w:b/>
          <w:lang w:eastAsia="en-US"/>
        </w:rPr>
        <w:t>Характеристика текущего состояния сферы реализации подпрограммы</w:t>
      </w:r>
    </w:p>
    <w:p w:rsidR="000958AD" w:rsidRPr="00937837" w:rsidRDefault="000958AD" w:rsidP="000958AD">
      <w:pPr>
        <w:shd w:val="clear" w:color="auto" w:fill="FFFFFF"/>
        <w:ind w:firstLine="709"/>
        <w:contextualSpacing/>
        <w:jc w:val="both"/>
        <w:rPr>
          <w:color w:val="000000"/>
        </w:rPr>
      </w:pPr>
      <w:r w:rsidRPr="00937837">
        <w:rPr>
          <w:color w:val="000000"/>
        </w:rPr>
        <w:t xml:space="preserve">Актуальность разработки </w:t>
      </w:r>
      <w:r>
        <w:rPr>
          <w:color w:val="000000"/>
        </w:rPr>
        <w:t>Подпрограммы</w:t>
      </w:r>
      <w:r w:rsidRPr="00937837">
        <w:rPr>
          <w:color w:val="000000"/>
        </w:rPr>
        <w:t xml:space="preserve"> обусловлена как социальными, так и экономическими факторами и направлена на повышение эффективности использования транспортных средств и коммунальной техники, необходимой для обслуживания населения </w:t>
      </w:r>
      <w:r>
        <w:rPr>
          <w:color w:val="000000"/>
        </w:rPr>
        <w:t xml:space="preserve"> муниципального района «Чернышевский район»</w:t>
      </w:r>
      <w:r w:rsidRPr="00937837">
        <w:rPr>
          <w:color w:val="000000"/>
        </w:rPr>
        <w:t xml:space="preserve"> и создание комфортной среды проживания.</w:t>
      </w:r>
    </w:p>
    <w:p w:rsidR="000958AD" w:rsidRPr="00937837" w:rsidRDefault="000958AD" w:rsidP="000958AD">
      <w:pPr>
        <w:shd w:val="clear" w:color="auto" w:fill="FFFFFF"/>
        <w:ind w:firstLine="709"/>
        <w:contextualSpacing/>
        <w:jc w:val="both"/>
        <w:rPr>
          <w:color w:val="000000"/>
        </w:rPr>
      </w:pPr>
      <w:r w:rsidRPr="00937837">
        <w:rPr>
          <w:color w:val="000000"/>
        </w:rPr>
        <w:t>П</w:t>
      </w:r>
      <w:r>
        <w:rPr>
          <w:color w:val="000000"/>
        </w:rPr>
        <w:t>одп</w:t>
      </w:r>
      <w:r w:rsidRPr="00937837">
        <w:rPr>
          <w:color w:val="000000"/>
        </w:rPr>
        <w:t xml:space="preserve">рограмма содержит характеристики и механизм реализации мероприятий по развитию коммунальной сферы на территории муниципального </w:t>
      </w:r>
      <w:r>
        <w:rPr>
          <w:color w:val="000000"/>
        </w:rPr>
        <w:t>района</w:t>
      </w:r>
      <w:r w:rsidRPr="00937837">
        <w:rPr>
          <w:color w:val="000000"/>
        </w:rPr>
        <w:t xml:space="preserve"> "</w:t>
      </w:r>
      <w:r>
        <w:rPr>
          <w:color w:val="000000"/>
        </w:rPr>
        <w:t>Чернышевский район»</w:t>
      </w:r>
      <w:r w:rsidRPr="00937837">
        <w:rPr>
          <w:color w:val="000000"/>
        </w:rPr>
        <w:t>.</w:t>
      </w:r>
    </w:p>
    <w:p w:rsidR="000958AD" w:rsidRDefault="000958AD" w:rsidP="000958AD">
      <w:pPr>
        <w:shd w:val="clear" w:color="auto" w:fill="FFFFFF"/>
        <w:ind w:firstLine="709"/>
        <w:contextualSpacing/>
        <w:jc w:val="both"/>
        <w:rPr>
          <w:color w:val="000000"/>
        </w:rPr>
      </w:pPr>
      <w:r w:rsidRPr="00937837">
        <w:rPr>
          <w:color w:val="000000"/>
        </w:rPr>
        <w:t xml:space="preserve">Разработка и реализация </w:t>
      </w:r>
      <w:r>
        <w:rPr>
          <w:color w:val="000000"/>
        </w:rPr>
        <w:t>подпрограммы</w:t>
      </w:r>
      <w:r w:rsidRPr="00937837">
        <w:rPr>
          <w:color w:val="000000"/>
        </w:rPr>
        <w:t xml:space="preserve"> позволит комплексно подойти к обновлению подвижного состава парка коммунальной техники, осуществляющей работу по предотвращению и устранению аварий в коммунальной сфере, </w:t>
      </w:r>
      <w:r>
        <w:rPr>
          <w:color w:val="000000"/>
        </w:rPr>
        <w:t>а также</w:t>
      </w:r>
      <w:r w:rsidRPr="00937837">
        <w:rPr>
          <w:color w:val="000000"/>
        </w:rPr>
        <w:t xml:space="preserve"> уменьшить общий процент мелких дорожно-транспортных происшествий на территории муниципального </w:t>
      </w:r>
      <w:r>
        <w:rPr>
          <w:color w:val="000000"/>
        </w:rPr>
        <w:t>района</w:t>
      </w:r>
      <w:r w:rsidRPr="00937837">
        <w:rPr>
          <w:color w:val="000000"/>
        </w:rPr>
        <w:t xml:space="preserve"> "</w:t>
      </w:r>
      <w:r>
        <w:rPr>
          <w:color w:val="000000"/>
        </w:rPr>
        <w:t>Чернышевский район»</w:t>
      </w:r>
      <w:r w:rsidRPr="00937837">
        <w:rPr>
          <w:color w:val="000000"/>
        </w:rPr>
        <w:t xml:space="preserve">". Процесс обновления парка техники окажет существенное влияние на социально-экономическое развитие муниципального </w:t>
      </w:r>
      <w:r>
        <w:rPr>
          <w:color w:val="000000"/>
        </w:rPr>
        <w:t>района</w:t>
      </w:r>
      <w:r w:rsidRPr="00937837">
        <w:rPr>
          <w:color w:val="000000"/>
        </w:rPr>
        <w:t xml:space="preserve"> "</w:t>
      </w:r>
      <w:r>
        <w:rPr>
          <w:color w:val="000000"/>
        </w:rPr>
        <w:t>Чернышевский район</w:t>
      </w:r>
      <w:r w:rsidRPr="00937837">
        <w:rPr>
          <w:color w:val="000000"/>
        </w:rPr>
        <w:t>".</w:t>
      </w:r>
    </w:p>
    <w:p w:rsidR="000958AD" w:rsidRDefault="000958AD" w:rsidP="000958AD">
      <w:pPr>
        <w:shd w:val="clear" w:color="auto" w:fill="FFFFFF"/>
        <w:ind w:firstLine="709"/>
        <w:contextualSpacing/>
        <w:jc w:val="both"/>
        <w:rPr>
          <w:color w:val="000000"/>
        </w:rPr>
      </w:pPr>
      <w:r w:rsidRPr="00937837">
        <w:rPr>
          <w:color w:val="000000"/>
        </w:rPr>
        <w:t>В настоящее время общее количество специализированных транспортных средств и коммунальной техники, задействованной в коммунальной сфере, составляет 52 единицы. Год выпуска данной техники - от 1981 года до 2000 года. Общий износ транспортных средств составляет более 60%. Остаточная стоимость - менее 1,5 млн. руб.</w:t>
      </w:r>
    </w:p>
    <w:p w:rsidR="000958AD" w:rsidRDefault="000958AD" w:rsidP="000958AD">
      <w:pPr>
        <w:shd w:val="clear" w:color="auto" w:fill="FFFFFF"/>
        <w:ind w:firstLine="709"/>
        <w:contextualSpacing/>
        <w:jc w:val="both"/>
        <w:rPr>
          <w:color w:val="000000"/>
        </w:rPr>
      </w:pPr>
      <w:r w:rsidRPr="00937837">
        <w:rPr>
          <w:color w:val="000000"/>
        </w:rPr>
        <w:t>В настоящее время специализированная и коммунальная техника, необходимая для муниципальных нужд, устарела, что сказывается не только на качестве обслуживания населения, но и влияет на факторы окружающей среды, которые в свою очередь характеризуют санитарно-эпидемиологическое благополучие населения. Еще один значимый минус устаревшей техники - это отсутствие ее надежности, что может повлечь усугубление аварийной ситуации и послужить причиной дискомфортного проживания населения.</w:t>
      </w:r>
    </w:p>
    <w:p w:rsidR="000958AD" w:rsidRPr="00707BF1" w:rsidRDefault="000958AD" w:rsidP="000958AD">
      <w:pPr>
        <w:shd w:val="clear" w:color="auto" w:fill="FFFFFF"/>
        <w:ind w:firstLine="709"/>
        <w:contextualSpacing/>
        <w:jc w:val="center"/>
        <w:rPr>
          <w:b/>
          <w:color w:val="000000"/>
        </w:rPr>
      </w:pPr>
    </w:p>
    <w:p w:rsidR="000958AD" w:rsidRPr="000958AD" w:rsidRDefault="000958AD" w:rsidP="000958AD">
      <w:pPr>
        <w:pStyle w:val="1"/>
        <w:keepNext w:val="0"/>
        <w:numPr>
          <w:ilvl w:val="0"/>
          <w:numId w:val="36"/>
        </w:numPr>
        <w:contextualSpacing/>
        <w:rPr>
          <w:b/>
          <w:sz w:val="24"/>
        </w:rPr>
      </w:pPr>
      <w:r w:rsidRPr="000958AD">
        <w:rPr>
          <w:b/>
          <w:sz w:val="24"/>
        </w:rPr>
        <w:t>Перечень приоритетов муниципальной подпрограммы</w:t>
      </w:r>
    </w:p>
    <w:p w:rsidR="000958AD" w:rsidRPr="006E6F4C" w:rsidRDefault="000958AD" w:rsidP="000958AD">
      <w:pPr>
        <w:autoSpaceDE w:val="0"/>
        <w:autoSpaceDN w:val="0"/>
        <w:adjustRightInd w:val="0"/>
        <w:ind w:firstLine="709"/>
        <w:contextualSpacing/>
        <w:jc w:val="both"/>
      </w:pPr>
      <w:r w:rsidRPr="006E6F4C">
        <w:rPr>
          <w:color w:val="000000"/>
        </w:rPr>
        <w:t xml:space="preserve">Основными целями государственной политики в сфере жилищно-коммунального хозяйства в соответствии с Указом Президента Российской Федерации от 7 мая 2012 г. № 600 "О мерах по обеспечению граждан </w:t>
      </w:r>
      <w:r w:rsidRPr="006E6F4C">
        <w:t xml:space="preserve">Российской Федерации доступным и комфортным жильем и повышению качества жилищно-коммунальных услуг" являются повышение </w:t>
      </w:r>
      <w:proofErr w:type="gramStart"/>
      <w:r w:rsidRPr="006E6F4C">
        <w:lastRenderedPageBreak/>
        <w:t xml:space="preserve">качества жизни населения путем повышения качества и надежности жилищно-коммунальных услуг, а также обеспечение их доступности для населения. </w:t>
      </w:r>
      <w:proofErr w:type="gramEnd"/>
    </w:p>
    <w:p w:rsidR="000958AD" w:rsidRDefault="000958AD" w:rsidP="000958AD">
      <w:pPr>
        <w:autoSpaceDE w:val="0"/>
        <w:autoSpaceDN w:val="0"/>
        <w:adjustRightInd w:val="0"/>
        <w:ind w:firstLine="709"/>
        <w:contextualSpacing/>
        <w:jc w:val="both"/>
      </w:pPr>
      <w:r w:rsidRPr="006E6F4C">
        <w:t>Приоритетами государственной политики в жилищно-коммунальной сфере являются</w:t>
      </w:r>
      <w:r>
        <w:t xml:space="preserve">, в том числе, </w:t>
      </w:r>
      <w:r w:rsidRPr="006E6F4C">
        <w:t>повышение комфортности условий проживания</w:t>
      </w:r>
      <w:r>
        <w:t xml:space="preserve"> населения в сельских поселениях.</w:t>
      </w:r>
    </w:p>
    <w:p w:rsidR="000958AD" w:rsidRPr="006E6F4C" w:rsidRDefault="000958AD" w:rsidP="000958AD">
      <w:pPr>
        <w:autoSpaceDE w:val="0"/>
        <w:autoSpaceDN w:val="0"/>
        <w:adjustRightInd w:val="0"/>
        <w:ind w:firstLine="709"/>
        <w:contextualSpacing/>
        <w:jc w:val="both"/>
      </w:pPr>
      <w:r w:rsidRPr="006E6F4C">
        <w:t xml:space="preserve">Качественное и поступательное развитие сферы жилищно-коммунального хозяйства будет служить одним из основных источников экономического развития </w:t>
      </w:r>
      <w:r>
        <w:t>поселений района</w:t>
      </w:r>
      <w:proofErr w:type="gramStart"/>
      <w:r>
        <w:t xml:space="preserve">   </w:t>
      </w:r>
      <w:r w:rsidRPr="006E6F4C">
        <w:t>В</w:t>
      </w:r>
      <w:proofErr w:type="gramEnd"/>
      <w:r w:rsidRPr="006E6F4C">
        <w:t xml:space="preserve"> период финансовой нестабильности жилищно-коммунальное хозяйство является одним из наиболее стабильных секторов экономики Российской Федерации (в том числе благодаря наличию гарантированного спроса на производимые товары, работы и услуги). </w:t>
      </w:r>
    </w:p>
    <w:p w:rsidR="000958AD" w:rsidRPr="0001135B" w:rsidRDefault="000958AD" w:rsidP="000958AD">
      <w:pPr>
        <w:pStyle w:val="aa"/>
        <w:numPr>
          <w:ilvl w:val="0"/>
          <w:numId w:val="36"/>
        </w:numPr>
        <w:shd w:val="clear" w:color="auto" w:fill="FFFFFF"/>
        <w:suppressAutoHyphens w:val="0"/>
        <w:contextualSpacing/>
        <w:jc w:val="center"/>
        <w:outlineLvl w:val="3"/>
        <w:rPr>
          <w:b/>
          <w:bCs/>
          <w:color w:val="000000"/>
        </w:rPr>
      </w:pPr>
      <w:r w:rsidRPr="0001135B">
        <w:rPr>
          <w:b/>
          <w:bCs/>
          <w:color w:val="000000"/>
        </w:rPr>
        <w:t>Цели и задачи подпрограммы</w:t>
      </w:r>
    </w:p>
    <w:p w:rsidR="000958AD" w:rsidRPr="00EF0FC2" w:rsidRDefault="000958AD" w:rsidP="000958AD">
      <w:pPr>
        <w:autoSpaceDE w:val="0"/>
        <w:autoSpaceDN w:val="0"/>
        <w:adjustRightInd w:val="0"/>
        <w:ind w:firstLine="709"/>
        <w:contextualSpacing/>
        <w:jc w:val="both"/>
      </w:pPr>
      <w:r w:rsidRPr="00EF0FC2">
        <w:rPr>
          <w:b/>
          <w:bCs/>
          <w:color w:val="000000"/>
        </w:rPr>
        <w:t>Целью</w:t>
      </w:r>
      <w:r w:rsidRPr="00EF0FC2">
        <w:rPr>
          <w:bCs/>
          <w:color w:val="000000"/>
        </w:rPr>
        <w:t xml:space="preserve"> </w:t>
      </w:r>
      <w:r>
        <w:rPr>
          <w:bCs/>
          <w:color w:val="000000"/>
        </w:rPr>
        <w:t>подп</w:t>
      </w:r>
      <w:r w:rsidRPr="00EF0FC2">
        <w:rPr>
          <w:bCs/>
          <w:color w:val="000000"/>
        </w:rPr>
        <w:t xml:space="preserve">рограммы является </w:t>
      </w:r>
      <w:r w:rsidRPr="00EF0FC2">
        <w:t>обеспечение условий для выполнения полномочий в сфере жилищно-коммунального комплекса</w:t>
      </w:r>
      <w:r>
        <w:t>,</w:t>
      </w:r>
      <w:r w:rsidRPr="00EF0FC2">
        <w:t xml:space="preserve"> осуществлени</w:t>
      </w:r>
      <w:r>
        <w:t>я</w:t>
      </w:r>
      <w:r w:rsidRPr="00EF0FC2">
        <w:t xml:space="preserve"> дорожной деятельности. </w:t>
      </w:r>
    </w:p>
    <w:p w:rsidR="000958AD" w:rsidRPr="00EF0FC2" w:rsidRDefault="000958AD" w:rsidP="000958AD">
      <w:pPr>
        <w:autoSpaceDE w:val="0"/>
        <w:autoSpaceDN w:val="0"/>
        <w:adjustRightInd w:val="0"/>
        <w:ind w:firstLine="709"/>
        <w:contextualSpacing/>
        <w:jc w:val="both"/>
      </w:pPr>
      <w:r w:rsidRPr="00EF0FC2">
        <w:rPr>
          <w:b/>
        </w:rPr>
        <w:t>Задачами</w:t>
      </w:r>
      <w:r w:rsidRPr="00EF0FC2">
        <w:t xml:space="preserve"> </w:t>
      </w:r>
      <w:r>
        <w:t>подп</w:t>
      </w:r>
      <w:r w:rsidRPr="00EF0FC2">
        <w:t>рограммы определяются ее конечной целью.</w:t>
      </w:r>
    </w:p>
    <w:p w:rsidR="000958AD" w:rsidRPr="00EF0FC2" w:rsidRDefault="000958AD" w:rsidP="000958AD">
      <w:pPr>
        <w:autoSpaceDE w:val="0"/>
        <w:autoSpaceDN w:val="0"/>
        <w:adjustRightInd w:val="0"/>
        <w:ind w:firstLine="709"/>
        <w:contextualSpacing/>
        <w:jc w:val="both"/>
      </w:pPr>
      <w:r w:rsidRPr="00EF0FC2">
        <w:t xml:space="preserve">Основными задачами </w:t>
      </w:r>
      <w:r>
        <w:t>подп</w:t>
      </w:r>
      <w:r w:rsidRPr="00EF0FC2">
        <w:t>рограммы являются:</w:t>
      </w:r>
    </w:p>
    <w:p w:rsidR="000958AD" w:rsidRPr="00EF0FC2" w:rsidRDefault="000958AD" w:rsidP="000958AD">
      <w:pPr>
        <w:autoSpaceDE w:val="0"/>
        <w:autoSpaceDN w:val="0"/>
        <w:adjustRightInd w:val="0"/>
        <w:ind w:firstLine="709"/>
        <w:contextualSpacing/>
        <w:jc w:val="both"/>
        <w:rPr>
          <w:bCs/>
          <w:color w:val="000000"/>
        </w:rPr>
      </w:pPr>
      <w:r w:rsidRPr="00EF0FC2">
        <w:t xml:space="preserve">- замена устаревшей и аварийной коммунальной техники на более </w:t>
      </w:r>
      <w:proofErr w:type="gramStart"/>
      <w:r w:rsidRPr="00EF0FC2">
        <w:t>современную</w:t>
      </w:r>
      <w:proofErr w:type="gramEnd"/>
      <w:r w:rsidRPr="00EF0FC2">
        <w:t xml:space="preserve"> и </w:t>
      </w:r>
      <w:proofErr w:type="spellStart"/>
      <w:r w:rsidRPr="00EF0FC2">
        <w:t>энергоэффективную</w:t>
      </w:r>
      <w:proofErr w:type="spellEnd"/>
      <w:r w:rsidRPr="00EF0FC2">
        <w:rPr>
          <w:bCs/>
          <w:color w:val="000000"/>
        </w:rPr>
        <w:t xml:space="preserve">; </w:t>
      </w:r>
    </w:p>
    <w:p w:rsidR="000958AD" w:rsidRDefault="000958AD" w:rsidP="000958AD">
      <w:pPr>
        <w:autoSpaceDE w:val="0"/>
        <w:autoSpaceDN w:val="0"/>
        <w:adjustRightInd w:val="0"/>
        <w:ind w:firstLine="709"/>
        <w:contextualSpacing/>
        <w:jc w:val="both"/>
        <w:rPr>
          <w:bCs/>
          <w:color w:val="000000"/>
        </w:rPr>
      </w:pPr>
      <w:r w:rsidRPr="00EF0FC2">
        <w:rPr>
          <w:bCs/>
          <w:color w:val="000000"/>
        </w:rPr>
        <w:t xml:space="preserve">- обеспечение условий для выполнения полномочий </w:t>
      </w:r>
      <w:r>
        <w:rPr>
          <w:bCs/>
          <w:color w:val="000000"/>
        </w:rPr>
        <w:t xml:space="preserve">муниципальных образований </w:t>
      </w:r>
      <w:r w:rsidRPr="00EF0FC2">
        <w:rPr>
          <w:bCs/>
          <w:color w:val="000000"/>
        </w:rPr>
        <w:t>в сфере жилищно-коммунального хозяйства.</w:t>
      </w:r>
    </w:p>
    <w:p w:rsidR="000958AD" w:rsidRDefault="000958AD" w:rsidP="000958AD">
      <w:pPr>
        <w:autoSpaceDE w:val="0"/>
        <w:autoSpaceDN w:val="0"/>
        <w:adjustRightInd w:val="0"/>
        <w:ind w:firstLine="709"/>
        <w:contextualSpacing/>
        <w:jc w:val="both"/>
        <w:rPr>
          <w:bCs/>
          <w:color w:val="000000"/>
        </w:rPr>
      </w:pPr>
    </w:p>
    <w:p w:rsidR="000958AD" w:rsidRPr="006E7C4C" w:rsidRDefault="000958AD" w:rsidP="000958AD">
      <w:pPr>
        <w:pStyle w:val="aa"/>
        <w:numPr>
          <w:ilvl w:val="0"/>
          <w:numId w:val="36"/>
        </w:numPr>
        <w:shd w:val="clear" w:color="auto" w:fill="FFFFFF"/>
        <w:suppressAutoHyphens w:val="0"/>
        <w:contextualSpacing/>
        <w:jc w:val="center"/>
        <w:rPr>
          <w:b/>
          <w:lang w:eastAsia="en-US"/>
        </w:rPr>
      </w:pPr>
      <w:r w:rsidRPr="006E7C4C">
        <w:rPr>
          <w:b/>
          <w:lang w:eastAsia="en-US"/>
        </w:rPr>
        <w:t>Сроки и этапы реализации программы</w:t>
      </w:r>
    </w:p>
    <w:p w:rsidR="000958AD" w:rsidRPr="006E7C4C" w:rsidRDefault="000958AD" w:rsidP="000958AD">
      <w:pPr>
        <w:ind w:left="-108" w:firstLine="709"/>
        <w:contextualSpacing/>
        <w:jc w:val="both"/>
        <w:rPr>
          <w:lang w:eastAsia="en-US"/>
        </w:rPr>
      </w:pPr>
      <w:r w:rsidRPr="006E7C4C">
        <w:rPr>
          <w:lang w:eastAsia="en-US"/>
        </w:rPr>
        <w:t>Программа рассчитана на период 2018-2020 гг. в один этап</w:t>
      </w:r>
    </w:p>
    <w:p w:rsidR="000958AD" w:rsidRPr="006E7C4C" w:rsidRDefault="000958AD" w:rsidP="000958AD">
      <w:pPr>
        <w:contextualSpacing/>
        <w:jc w:val="center"/>
        <w:rPr>
          <w:lang w:eastAsia="en-US"/>
        </w:rPr>
      </w:pPr>
    </w:p>
    <w:p w:rsidR="000958AD" w:rsidRPr="006E7C4C" w:rsidRDefault="000958AD" w:rsidP="000958AD">
      <w:pPr>
        <w:pStyle w:val="aa"/>
        <w:numPr>
          <w:ilvl w:val="0"/>
          <w:numId w:val="36"/>
        </w:numPr>
        <w:shd w:val="clear" w:color="auto" w:fill="FFFFFF"/>
        <w:suppressAutoHyphens w:val="0"/>
        <w:ind w:right="62"/>
        <w:contextualSpacing/>
        <w:jc w:val="center"/>
        <w:rPr>
          <w:b/>
          <w:lang w:eastAsia="en-US"/>
        </w:rPr>
      </w:pPr>
      <w:r w:rsidRPr="006E7C4C">
        <w:rPr>
          <w:b/>
          <w:lang w:eastAsia="en-US"/>
        </w:rPr>
        <w:t>Перечень основных мероприятий программы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1"/>
        <w:gridCol w:w="2585"/>
        <w:gridCol w:w="1406"/>
        <w:gridCol w:w="1255"/>
        <w:gridCol w:w="1695"/>
        <w:gridCol w:w="1960"/>
      </w:tblGrid>
      <w:tr w:rsidR="000958AD" w:rsidRPr="00937837" w:rsidTr="00AC2D3A">
        <w:trPr>
          <w:trHeight w:val="240"/>
        </w:trPr>
        <w:tc>
          <w:tcPr>
            <w:tcW w:w="614" w:type="dxa"/>
            <w:vMerge w:val="restart"/>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6E7C4C">
              <w:rPr>
                <w:color w:val="000000"/>
              </w:rPr>
              <w:br/>
            </w:r>
            <w:r w:rsidRPr="00937837">
              <w:t>N п/п</w:t>
            </w:r>
          </w:p>
        </w:tc>
        <w:tc>
          <w:tcPr>
            <w:tcW w:w="2597" w:type="dxa"/>
            <w:vMerge w:val="restart"/>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Наименование мероприятия</w:t>
            </w:r>
          </w:p>
        </w:tc>
        <w:tc>
          <w:tcPr>
            <w:tcW w:w="1240" w:type="dxa"/>
            <w:vMerge w:val="restart"/>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Необх</w:t>
            </w:r>
            <w:r>
              <w:t>одим</w:t>
            </w:r>
            <w:r w:rsidRPr="00937837">
              <w:t>ое кол</w:t>
            </w:r>
            <w:r>
              <w:t>ичество</w:t>
            </w:r>
            <w:r w:rsidRPr="00937837">
              <w:t>, ед.</w:t>
            </w:r>
          </w:p>
        </w:tc>
        <w:tc>
          <w:tcPr>
            <w:tcW w:w="4920" w:type="dxa"/>
            <w:gridSpan w:val="3"/>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 xml:space="preserve">Финансирование, </w:t>
            </w:r>
            <w:r>
              <w:t xml:space="preserve">тыс. </w:t>
            </w:r>
            <w:r w:rsidRPr="00937837">
              <w:t>руб.</w:t>
            </w:r>
          </w:p>
        </w:tc>
      </w:tr>
      <w:tr w:rsidR="000958AD" w:rsidRPr="00937837" w:rsidTr="00AC2D3A">
        <w:trPr>
          <w:trHeight w:val="24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58AD" w:rsidRPr="00937837" w:rsidRDefault="000958AD" w:rsidP="00AC2D3A"/>
        </w:tc>
        <w:tc>
          <w:tcPr>
            <w:tcW w:w="0" w:type="auto"/>
            <w:vMerge/>
            <w:tcBorders>
              <w:top w:val="outset" w:sz="6" w:space="0" w:color="auto"/>
              <w:left w:val="outset" w:sz="6" w:space="0" w:color="auto"/>
              <w:bottom w:val="outset" w:sz="6" w:space="0" w:color="auto"/>
              <w:right w:val="outset" w:sz="6" w:space="0" w:color="auto"/>
            </w:tcBorders>
            <w:vAlign w:val="center"/>
            <w:hideMark/>
          </w:tcPr>
          <w:p w:rsidR="000958AD" w:rsidRPr="00937837" w:rsidRDefault="000958AD" w:rsidP="00AC2D3A"/>
        </w:tc>
        <w:tc>
          <w:tcPr>
            <w:tcW w:w="0" w:type="auto"/>
            <w:vMerge/>
            <w:tcBorders>
              <w:top w:val="outset" w:sz="6" w:space="0" w:color="auto"/>
              <w:left w:val="outset" w:sz="6" w:space="0" w:color="auto"/>
              <w:bottom w:val="outset" w:sz="6" w:space="0" w:color="auto"/>
              <w:right w:val="outset" w:sz="6" w:space="0" w:color="auto"/>
            </w:tcBorders>
            <w:vAlign w:val="center"/>
            <w:hideMark/>
          </w:tcPr>
          <w:p w:rsidR="000958AD" w:rsidRPr="00937837" w:rsidRDefault="000958AD" w:rsidP="00AC2D3A"/>
        </w:tc>
        <w:tc>
          <w:tcPr>
            <w:tcW w:w="1261" w:type="dxa"/>
            <w:vMerge w:val="restart"/>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 xml:space="preserve">Всего </w:t>
            </w:r>
          </w:p>
        </w:tc>
        <w:tc>
          <w:tcPr>
            <w:tcW w:w="3659" w:type="dxa"/>
            <w:gridSpan w:val="2"/>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В том числе</w:t>
            </w:r>
          </w:p>
        </w:tc>
      </w:tr>
      <w:tr w:rsidR="000958AD" w:rsidRPr="00937837" w:rsidTr="00AC2D3A">
        <w:trPr>
          <w:trHeight w:val="720"/>
        </w:trPr>
        <w:tc>
          <w:tcPr>
            <w:tcW w:w="0" w:type="auto"/>
            <w:vMerge/>
            <w:tcBorders>
              <w:top w:val="outset" w:sz="6" w:space="0" w:color="auto"/>
              <w:left w:val="outset" w:sz="6" w:space="0" w:color="auto"/>
              <w:bottom w:val="outset" w:sz="6" w:space="0" w:color="auto"/>
              <w:right w:val="outset" w:sz="6" w:space="0" w:color="auto"/>
            </w:tcBorders>
            <w:vAlign w:val="center"/>
            <w:hideMark/>
          </w:tcPr>
          <w:p w:rsidR="000958AD" w:rsidRPr="00937837" w:rsidRDefault="000958AD" w:rsidP="00AC2D3A"/>
        </w:tc>
        <w:tc>
          <w:tcPr>
            <w:tcW w:w="0" w:type="auto"/>
            <w:vMerge/>
            <w:tcBorders>
              <w:top w:val="outset" w:sz="6" w:space="0" w:color="auto"/>
              <w:left w:val="outset" w:sz="6" w:space="0" w:color="auto"/>
              <w:bottom w:val="outset" w:sz="6" w:space="0" w:color="auto"/>
              <w:right w:val="outset" w:sz="6" w:space="0" w:color="auto"/>
            </w:tcBorders>
            <w:vAlign w:val="center"/>
            <w:hideMark/>
          </w:tcPr>
          <w:p w:rsidR="000958AD" w:rsidRPr="00937837" w:rsidRDefault="000958AD" w:rsidP="00AC2D3A"/>
        </w:tc>
        <w:tc>
          <w:tcPr>
            <w:tcW w:w="0" w:type="auto"/>
            <w:vMerge/>
            <w:tcBorders>
              <w:top w:val="outset" w:sz="6" w:space="0" w:color="auto"/>
              <w:left w:val="outset" w:sz="6" w:space="0" w:color="auto"/>
              <w:bottom w:val="outset" w:sz="6" w:space="0" w:color="auto"/>
              <w:right w:val="outset" w:sz="6" w:space="0" w:color="auto"/>
            </w:tcBorders>
            <w:vAlign w:val="center"/>
            <w:hideMark/>
          </w:tcPr>
          <w:p w:rsidR="000958AD" w:rsidRPr="00937837" w:rsidRDefault="000958AD" w:rsidP="00AC2D3A"/>
        </w:tc>
        <w:tc>
          <w:tcPr>
            <w:tcW w:w="0" w:type="auto"/>
            <w:vMerge/>
            <w:tcBorders>
              <w:top w:val="outset" w:sz="6" w:space="0" w:color="auto"/>
              <w:left w:val="outset" w:sz="6" w:space="0" w:color="auto"/>
              <w:bottom w:val="outset" w:sz="6" w:space="0" w:color="auto"/>
              <w:right w:val="outset" w:sz="6" w:space="0" w:color="auto"/>
            </w:tcBorders>
            <w:vAlign w:val="center"/>
            <w:hideMark/>
          </w:tcPr>
          <w:p w:rsidR="000958AD" w:rsidRPr="00937837" w:rsidRDefault="000958AD" w:rsidP="00AC2D3A"/>
        </w:tc>
        <w:tc>
          <w:tcPr>
            <w:tcW w:w="1696"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 xml:space="preserve">Доля </w:t>
            </w:r>
            <w:r>
              <w:t xml:space="preserve">бюджета </w:t>
            </w:r>
            <w:r w:rsidRPr="00937837">
              <w:t xml:space="preserve"> </w:t>
            </w:r>
            <w:r>
              <w:t xml:space="preserve">Забайкальского края </w:t>
            </w:r>
            <w:r w:rsidRPr="00937837">
              <w:t>(70%)</w:t>
            </w:r>
          </w:p>
        </w:tc>
        <w:tc>
          <w:tcPr>
            <w:tcW w:w="1963"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Доля бюджетов органов местного самоуправления (30%)</w:t>
            </w:r>
          </w:p>
        </w:tc>
      </w:tr>
      <w:tr w:rsidR="000958AD" w:rsidRPr="00937837" w:rsidTr="00AC2D3A">
        <w:trPr>
          <w:trHeight w:val="240"/>
        </w:trPr>
        <w:tc>
          <w:tcPr>
            <w:tcW w:w="614"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1</w:t>
            </w:r>
          </w:p>
        </w:tc>
        <w:tc>
          <w:tcPr>
            <w:tcW w:w="2597"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2</w:t>
            </w:r>
          </w:p>
        </w:tc>
        <w:tc>
          <w:tcPr>
            <w:tcW w:w="1240"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3</w:t>
            </w:r>
          </w:p>
        </w:tc>
        <w:tc>
          <w:tcPr>
            <w:tcW w:w="1261"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4</w:t>
            </w:r>
          </w:p>
        </w:tc>
        <w:tc>
          <w:tcPr>
            <w:tcW w:w="1696"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5</w:t>
            </w:r>
          </w:p>
        </w:tc>
        <w:tc>
          <w:tcPr>
            <w:tcW w:w="1963"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6</w:t>
            </w:r>
          </w:p>
        </w:tc>
      </w:tr>
      <w:tr w:rsidR="000958AD" w:rsidRPr="00937837" w:rsidTr="00AC2D3A">
        <w:trPr>
          <w:trHeight w:val="600"/>
        </w:trPr>
        <w:tc>
          <w:tcPr>
            <w:tcW w:w="614"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1.</w:t>
            </w:r>
          </w:p>
        </w:tc>
        <w:tc>
          <w:tcPr>
            <w:tcW w:w="2597" w:type="dxa"/>
            <w:tcBorders>
              <w:top w:val="outset" w:sz="6" w:space="0" w:color="auto"/>
              <w:left w:val="outset" w:sz="6" w:space="0" w:color="auto"/>
              <w:bottom w:val="outset" w:sz="6" w:space="0" w:color="auto"/>
              <w:right w:val="outset" w:sz="6" w:space="0" w:color="auto"/>
            </w:tcBorders>
            <w:hideMark/>
          </w:tcPr>
          <w:p w:rsidR="000958AD" w:rsidRPr="00C27C01" w:rsidRDefault="000958AD" w:rsidP="00AC2D3A">
            <w:pPr>
              <w:spacing w:before="100" w:beforeAutospacing="1" w:after="100" w:afterAutospacing="1"/>
              <w:jc w:val="both"/>
            </w:pPr>
            <w:r w:rsidRPr="00C27C01">
              <w:t>Приобретение автомашины водовозки на базе ГАЗ-3309 или аналога</w:t>
            </w:r>
          </w:p>
        </w:tc>
        <w:tc>
          <w:tcPr>
            <w:tcW w:w="1240" w:type="dxa"/>
            <w:tcBorders>
              <w:top w:val="outset" w:sz="6" w:space="0" w:color="auto"/>
              <w:left w:val="outset" w:sz="6" w:space="0" w:color="auto"/>
              <w:bottom w:val="outset" w:sz="6" w:space="0" w:color="auto"/>
              <w:right w:val="outset" w:sz="6" w:space="0" w:color="auto"/>
            </w:tcBorders>
            <w:hideMark/>
          </w:tcPr>
          <w:p w:rsidR="000958AD" w:rsidRDefault="000958AD" w:rsidP="00AC2D3A">
            <w:pPr>
              <w:spacing w:before="100" w:beforeAutospacing="1" w:after="100" w:afterAutospacing="1"/>
              <w:jc w:val="both"/>
            </w:pPr>
            <w:r>
              <w:t xml:space="preserve">       2</w:t>
            </w:r>
          </w:p>
          <w:p w:rsidR="000958AD" w:rsidRPr="00AE409C" w:rsidRDefault="000958AD" w:rsidP="00AC2D3A"/>
        </w:tc>
        <w:tc>
          <w:tcPr>
            <w:tcW w:w="1261"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t xml:space="preserve">  4000,0</w:t>
            </w:r>
          </w:p>
        </w:tc>
        <w:tc>
          <w:tcPr>
            <w:tcW w:w="1696"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t xml:space="preserve">  2 800,0</w:t>
            </w:r>
          </w:p>
        </w:tc>
        <w:tc>
          <w:tcPr>
            <w:tcW w:w="1963"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t xml:space="preserve"> 1 200,0</w:t>
            </w:r>
          </w:p>
        </w:tc>
      </w:tr>
      <w:tr w:rsidR="000958AD" w:rsidRPr="00937837" w:rsidTr="00AC2D3A">
        <w:trPr>
          <w:trHeight w:val="240"/>
        </w:trPr>
        <w:tc>
          <w:tcPr>
            <w:tcW w:w="614"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after="240"/>
            </w:pPr>
          </w:p>
        </w:tc>
        <w:tc>
          <w:tcPr>
            <w:tcW w:w="2597"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rsidRPr="00937837">
              <w:t>ИТОГО</w:t>
            </w:r>
          </w:p>
        </w:tc>
        <w:tc>
          <w:tcPr>
            <w:tcW w:w="1240"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t xml:space="preserve">       2</w:t>
            </w:r>
          </w:p>
        </w:tc>
        <w:tc>
          <w:tcPr>
            <w:tcW w:w="1261"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t xml:space="preserve"> 4000,0</w:t>
            </w:r>
          </w:p>
        </w:tc>
        <w:tc>
          <w:tcPr>
            <w:tcW w:w="1696"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t xml:space="preserve">  2 800,0</w:t>
            </w:r>
          </w:p>
        </w:tc>
        <w:tc>
          <w:tcPr>
            <w:tcW w:w="1963" w:type="dxa"/>
            <w:tcBorders>
              <w:top w:val="outset" w:sz="6" w:space="0" w:color="auto"/>
              <w:left w:val="outset" w:sz="6" w:space="0" w:color="auto"/>
              <w:bottom w:val="outset" w:sz="6" w:space="0" w:color="auto"/>
              <w:right w:val="outset" w:sz="6" w:space="0" w:color="auto"/>
            </w:tcBorders>
            <w:hideMark/>
          </w:tcPr>
          <w:p w:rsidR="000958AD" w:rsidRPr="00937837" w:rsidRDefault="000958AD" w:rsidP="00AC2D3A">
            <w:pPr>
              <w:spacing w:before="100" w:beforeAutospacing="1" w:after="100" w:afterAutospacing="1"/>
              <w:jc w:val="both"/>
            </w:pPr>
            <w:r>
              <w:t xml:space="preserve"> 1 200,0</w:t>
            </w:r>
          </w:p>
        </w:tc>
      </w:tr>
    </w:tbl>
    <w:p w:rsidR="000958AD" w:rsidRPr="006E7C4C" w:rsidRDefault="000958AD" w:rsidP="000958AD">
      <w:pPr>
        <w:contextualSpacing/>
      </w:pPr>
    </w:p>
    <w:p w:rsidR="000958AD" w:rsidRPr="00C27C01" w:rsidRDefault="000958AD" w:rsidP="000958AD">
      <w:pPr>
        <w:pStyle w:val="aa"/>
        <w:numPr>
          <w:ilvl w:val="0"/>
          <w:numId w:val="36"/>
        </w:numPr>
        <w:shd w:val="clear" w:color="auto" w:fill="FFFFFF"/>
        <w:suppressAutoHyphens w:val="0"/>
        <w:spacing w:after="200" w:line="276" w:lineRule="auto"/>
        <w:ind w:right="62"/>
        <w:contextualSpacing/>
        <w:jc w:val="center"/>
        <w:rPr>
          <w:b/>
          <w:lang w:eastAsia="en-US"/>
        </w:rPr>
      </w:pPr>
      <w:r w:rsidRPr="00C27C01">
        <w:rPr>
          <w:b/>
          <w:lang w:eastAsia="en-US"/>
        </w:rPr>
        <w:t>Перечень индикаторов программы</w:t>
      </w:r>
    </w:p>
    <w:p w:rsidR="000958AD" w:rsidRPr="00C27C01" w:rsidRDefault="000958AD" w:rsidP="000958AD">
      <w:pPr>
        <w:pStyle w:val="aa"/>
        <w:shd w:val="clear" w:color="auto" w:fill="FFFFFF"/>
        <w:ind w:left="0" w:right="62" w:firstLine="720"/>
        <w:jc w:val="both"/>
        <w:rPr>
          <w:lang w:eastAsia="en-US"/>
        </w:rPr>
      </w:pPr>
      <w:r w:rsidRPr="00C27C01">
        <w:rPr>
          <w:lang w:eastAsia="en-US"/>
        </w:rPr>
        <w:t xml:space="preserve"> Для контроля программных мероприятий определены целевые индикаторы, характеризующие прямой эффект от реализации программы.</w:t>
      </w:r>
    </w:p>
    <w:tbl>
      <w:tblPr>
        <w:tblW w:w="10065" w:type="dxa"/>
        <w:tblInd w:w="-527" w:type="dxa"/>
        <w:tblLayout w:type="fixed"/>
        <w:tblCellMar>
          <w:left w:w="40" w:type="dxa"/>
          <w:right w:w="40" w:type="dxa"/>
        </w:tblCellMar>
        <w:tblLook w:val="0000"/>
      </w:tblPr>
      <w:tblGrid>
        <w:gridCol w:w="5812"/>
        <w:gridCol w:w="1134"/>
        <w:gridCol w:w="1134"/>
        <w:gridCol w:w="992"/>
        <w:gridCol w:w="993"/>
      </w:tblGrid>
      <w:tr w:rsidR="000958AD" w:rsidRPr="00FE6826" w:rsidTr="00AC2D3A">
        <w:trPr>
          <w:trHeight w:hRule="exact" w:val="346"/>
        </w:trPr>
        <w:tc>
          <w:tcPr>
            <w:tcW w:w="5812" w:type="dxa"/>
            <w:vMerge w:val="restart"/>
            <w:tcBorders>
              <w:top w:val="single" w:sz="6" w:space="0" w:color="auto"/>
              <w:left w:val="single" w:sz="6" w:space="0" w:color="auto"/>
              <w:right w:val="single" w:sz="6" w:space="0" w:color="auto"/>
            </w:tcBorders>
            <w:shd w:val="clear" w:color="auto" w:fill="FFFFFF"/>
          </w:tcPr>
          <w:p w:rsidR="000958AD" w:rsidRPr="00FE6826" w:rsidRDefault="000958AD" w:rsidP="00AC2D3A">
            <w:pPr>
              <w:shd w:val="clear" w:color="auto" w:fill="FFFFFF"/>
              <w:contextualSpacing/>
            </w:pPr>
            <w:r w:rsidRPr="00FE6826">
              <w:t>Целевые индикаторы</w:t>
            </w:r>
          </w:p>
          <w:p w:rsidR="000958AD" w:rsidRPr="00FE6826" w:rsidRDefault="000958AD" w:rsidP="00AC2D3A">
            <w:pPr>
              <w:contextualSpacing/>
            </w:pPr>
          </w:p>
          <w:p w:rsidR="000958AD" w:rsidRPr="00FE6826" w:rsidRDefault="000958AD" w:rsidP="00AC2D3A">
            <w:pPr>
              <w:contextualSpacing/>
            </w:pPr>
          </w:p>
        </w:tc>
        <w:tc>
          <w:tcPr>
            <w:tcW w:w="4253" w:type="dxa"/>
            <w:gridSpan w:val="4"/>
            <w:tcBorders>
              <w:top w:val="single" w:sz="6" w:space="0" w:color="auto"/>
              <w:left w:val="single" w:sz="6" w:space="0" w:color="auto"/>
              <w:bottom w:val="single" w:sz="4" w:space="0" w:color="auto"/>
              <w:right w:val="single" w:sz="6" w:space="0" w:color="auto"/>
            </w:tcBorders>
            <w:shd w:val="clear" w:color="auto" w:fill="FFFFFF"/>
          </w:tcPr>
          <w:p w:rsidR="000958AD" w:rsidRPr="00FE6826" w:rsidRDefault="000958AD" w:rsidP="00AC2D3A">
            <w:pPr>
              <w:shd w:val="clear" w:color="auto" w:fill="FFFFFF"/>
              <w:ind w:left="612"/>
              <w:contextualSpacing/>
            </w:pPr>
            <w:r w:rsidRPr="00FE6826">
              <w:rPr>
                <w:spacing w:val="-11"/>
              </w:rPr>
              <w:t xml:space="preserve">Показатели (по годам) </w:t>
            </w:r>
          </w:p>
        </w:tc>
      </w:tr>
      <w:tr w:rsidR="000958AD" w:rsidRPr="00FE6826" w:rsidTr="00AC2D3A">
        <w:trPr>
          <w:trHeight w:hRule="exact" w:val="657"/>
        </w:trPr>
        <w:tc>
          <w:tcPr>
            <w:tcW w:w="5812" w:type="dxa"/>
            <w:vMerge/>
            <w:tcBorders>
              <w:left w:val="single" w:sz="6" w:space="0" w:color="auto"/>
              <w:bottom w:val="single" w:sz="6" w:space="0" w:color="auto"/>
              <w:right w:val="single" w:sz="6" w:space="0" w:color="auto"/>
            </w:tcBorders>
            <w:shd w:val="clear" w:color="auto" w:fill="FFFFFF"/>
          </w:tcPr>
          <w:p w:rsidR="000958AD" w:rsidRPr="00FE6826" w:rsidRDefault="000958AD" w:rsidP="00AC2D3A">
            <w:pPr>
              <w:contextualSpacing/>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0958AD" w:rsidRPr="00FE6826" w:rsidRDefault="000958AD" w:rsidP="00AC2D3A">
            <w:pPr>
              <w:shd w:val="clear" w:color="auto" w:fill="FFFFFF"/>
              <w:ind w:left="-40" w:firstLine="40"/>
              <w:contextualSpacing/>
              <w:jc w:val="both"/>
            </w:pPr>
            <w:r w:rsidRPr="00FE6826">
              <w:t>2018- 2020 гг.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58AD" w:rsidRPr="00FE6826" w:rsidRDefault="000958AD" w:rsidP="00AC2D3A">
            <w:pPr>
              <w:shd w:val="clear" w:color="auto" w:fill="FFFFFF"/>
              <w:ind w:left="-40" w:firstLine="40"/>
              <w:contextualSpacing/>
              <w:jc w:val="both"/>
            </w:pPr>
            <w:r w:rsidRPr="00FE6826">
              <w:t>2018г.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0958AD" w:rsidRPr="00FE6826" w:rsidRDefault="000958AD" w:rsidP="00AC2D3A">
            <w:pPr>
              <w:shd w:val="clear" w:color="auto" w:fill="FFFFFF"/>
              <w:ind w:left="-40" w:firstLine="40"/>
              <w:contextualSpacing/>
              <w:jc w:val="both"/>
            </w:pPr>
            <w:r w:rsidRPr="00FE6826">
              <w:t>2019г.</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958AD" w:rsidRPr="00FE6826" w:rsidRDefault="000958AD" w:rsidP="00AC2D3A">
            <w:pPr>
              <w:shd w:val="clear" w:color="auto" w:fill="FFFFFF"/>
              <w:ind w:left="-40" w:firstLine="40"/>
              <w:contextualSpacing/>
              <w:jc w:val="both"/>
            </w:pPr>
            <w:r w:rsidRPr="00FE6826">
              <w:t>2020г.</w:t>
            </w:r>
          </w:p>
        </w:tc>
      </w:tr>
      <w:tr w:rsidR="000958AD" w:rsidRPr="00FE6826" w:rsidTr="00AC2D3A">
        <w:trPr>
          <w:trHeight w:hRule="exact" w:val="708"/>
        </w:trPr>
        <w:tc>
          <w:tcPr>
            <w:tcW w:w="5812" w:type="dxa"/>
            <w:tcBorders>
              <w:top w:val="single" w:sz="6" w:space="0" w:color="auto"/>
              <w:left w:val="single" w:sz="6" w:space="0" w:color="auto"/>
              <w:bottom w:val="single" w:sz="4" w:space="0" w:color="auto"/>
              <w:right w:val="single" w:sz="6" w:space="0" w:color="auto"/>
            </w:tcBorders>
            <w:shd w:val="clear" w:color="auto" w:fill="FFFFFF"/>
          </w:tcPr>
          <w:p w:rsidR="000958AD" w:rsidRPr="00FE6826" w:rsidRDefault="000958AD" w:rsidP="000958AD">
            <w:pPr>
              <w:shd w:val="clear" w:color="auto" w:fill="FFFFFF"/>
              <w:ind w:right="406"/>
              <w:contextualSpacing/>
              <w:jc w:val="both"/>
            </w:pPr>
            <w:r w:rsidRPr="00FE6826">
              <w:t>Количество автомашин водовозки на базе ГАЗ-330</w:t>
            </w:r>
            <w:r>
              <w:t xml:space="preserve">9 </w:t>
            </w:r>
            <w:r w:rsidRPr="00FE6826">
              <w:t>к приобретению в период 2018-2020 годов</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0958AD" w:rsidRPr="00FE6826" w:rsidRDefault="000958AD" w:rsidP="00AC2D3A">
            <w:pPr>
              <w:shd w:val="clear" w:color="auto" w:fill="FFFFFF"/>
              <w:ind w:left="648"/>
              <w:contextualSpacing/>
              <w:jc w:val="center"/>
            </w:pPr>
            <w:r w:rsidRPr="00FE6826">
              <w:t>2</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0958AD" w:rsidRPr="00FE6826" w:rsidRDefault="000958AD" w:rsidP="00AC2D3A">
            <w:pPr>
              <w:shd w:val="clear" w:color="auto" w:fill="FFFFFF"/>
              <w:ind w:left="648"/>
              <w:contextualSpacing/>
              <w:jc w:val="center"/>
            </w:pPr>
            <w:r w:rsidRPr="00FE6826">
              <w:t>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0958AD" w:rsidRPr="00FE6826" w:rsidRDefault="000958AD" w:rsidP="00AC2D3A">
            <w:pPr>
              <w:shd w:val="clear" w:color="auto" w:fill="FFFFFF"/>
              <w:ind w:left="62"/>
              <w:contextualSpacing/>
              <w:jc w:val="center"/>
            </w:pPr>
            <w:r w:rsidRPr="00FE6826">
              <w:t>1</w:t>
            </w:r>
          </w:p>
        </w:tc>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0958AD" w:rsidRPr="00FE6826" w:rsidRDefault="000958AD" w:rsidP="00AC2D3A">
            <w:pPr>
              <w:shd w:val="clear" w:color="auto" w:fill="FFFFFF"/>
              <w:contextualSpacing/>
              <w:jc w:val="center"/>
            </w:pPr>
            <w:r w:rsidRPr="00FE6826">
              <w:rPr>
                <w:bCs/>
                <w:iCs/>
              </w:rPr>
              <w:t>1</w:t>
            </w:r>
          </w:p>
        </w:tc>
      </w:tr>
    </w:tbl>
    <w:p w:rsidR="000958AD" w:rsidRDefault="000958AD" w:rsidP="000958AD">
      <w:pPr>
        <w:pStyle w:val="aa"/>
        <w:shd w:val="clear" w:color="auto" w:fill="FFFFFF"/>
        <w:outlineLvl w:val="3"/>
        <w:rPr>
          <w:b/>
          <w:bCs/>
          <w:color w:val="000000"/>
        </w:rPr>
      </w:pPr>
    </w:p>
    <w:p w:rsidR="000958AD" w:rsidRDefault="000958AD" w:rsidP="000958AD">
      <w:pPr>
        <w:pStyle w:val="aa"/>
        <w:shd w:val="clear" w:color="auto" w:fill="FFFFFF"/>
        <w:outlineLvl w:val="3"/>
        <w:rPr>
          <w:b/>
          <w:bCs/>
          <w:color w:val="000000"/>
        </w:rPr>
      </w:pPr>
    </w:p>
    <w:p w:rsidR="000958AD" w:rsidRPr="00FE6826" w:rsidRDefault="000958AD" w:rsidP="000958AD">
      <w:pPr>
        <w:shd w:val="clear" w:color="auto" w:fill="FFFFFF"/>
        <w:ind w:left="-108" w:right="62" w:firstLine="709"/>
        <w:jc w:val="center"/>
        <w:rPr>
          <w:b/>
          <w:lang w:eastAsia="en-US"/>
        </w:rPr>
      </w:pPr>
      <w:r w:rsidRPr="00FE6826">
        <w:rPr>
          <w:b/>
          <w:lang w:eastAsia="en-US"/>
        </w:rPr>
        <w:t>7. Информация по ресурсному обеспечению программы</w:t>
      </w:r>
    </w:p>
    <w:p w:rsidR="000958AD" w:rsidRDefault="000958AD" w:rsidP="000958AD">
      <w:pPr>
        <w:shd w:val="clear" w:color="auto" w:fill="FFFFFF"/>
        <w:ind w:left="-108" w:right="62" w:firstLine="709"/>
        <w:contextualSpacing/>
        <w:jc w:val="both"/>
      </w:pPr>
      <w:r w:rsidRPr="006F660B">
        <w:t>Источниками финансирования подпрограммы являются средства бюджета субъекта РФ и средства  местных бюджетов.</w:t>
      </w:r>
    </w:p>
    <w:p w:rsidR="000958AD" w:rsidRPr="006F660B" w:rsidRDefault="000958AD" w:rsidP="000958AD">
      <w:pPr>
        <w:shd w:val="clear" w:color="auto" w:fill="FFFFFF"/>
        <w:ind w:left="-108" w:right="62" w:firstLine="709"/>
        <w:contextualSpacing/>
        <w:jc w:val="both"/>
        <w:rPr>
          <w:lang w:eastAsia="en-US"/>
        </w:rPr>
      </w:pPr>
    </w:p>
    <w:tbl>
      <w:tblPr>
        <w:tblW w:w="8616" w:type="dxa"/>
        <w:jc w:val="center"/>
        <w:tblInd w:w="-3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1456"/>
        <w:gridCol w:w="1134"/>
        <w:gridCol w:w="1276"/>
        <w:gridCol w:w="1417"/>
      </w:tblGrid>
      <w:tr w:rsidR="000958AD" w:rsidRPr="006F660B" w:rsidTr="00AC2D3A">
        <w:trPr>
          <w:jc w:val="center"/>
        </w:trPr>
        <w:tc>
          <w:tcPr>
            <w:tcW w:w="3333" w:type="dxa"/>
            <w:vMerge w:val="restart"/>
          </w:tcPr>
          <w:p w:rsidR="000958AD" w:rsidRPr="006F660B" w:rsidRDefault="000958AD" w:rsidP="00AC2D3A">
            <w:pPr>
              <w:ind w:right="62"/>
              <w:contextualSpacing/>
              <w:jc w:val="both"/>
              <w:rPr>
                <w:lang w:eastAsia="en-US"/>
              </w:rPr>
            </w:pPr>
            <w:r w:rsidRPr="006F660B">
              <w:rPr>
                <w:lang w:eastAsia="en-US"/>
              </w:rPr>
              <w:t>Источники финансирования</w:t>
            </w:r>
          </w:p>
        </w:tc>
        <w:tc>
          <w:tcPr>
            <w:tcW w:w="5283" w:type="dxa"/>
            <w:gridSpan w:val="4"/>
          </w:tcPr>
          <w:p w:rsidR="000958AD" w:rsidRPr="006F660B" w:rsidRDefault="000958AD" w:rsidP="00AC2D3A">
            <w:pPr>
              <w:ind w:right="62"/>
              <w:contextualSpacing/>
              <w:jc w:val="both"/>
              <w:rPr>
                <w:lang w:eastAsia="en-US"/>
              </w:rPr>
            </w:pPr>
            <w:r w:rsidRPr="006F660B">
              <w:rPr>
                <w:lang w:eastAsia="en-US"/>
              </w:rPr>
              <w:t xml:space="preserve">Потребность в финансовых ресурсах, тыс. </w:t>
            </w:r>
            <w:proofErr w:type="spellStart"/>
            <w:r w:rsidRPr="006F660B">
              <w:rPr>
                <w:lang w:eastAsia="en-US"/>
              </w:rPr>
              <w:t>руб</w:t>
            </w:r>
            <w:proofErr w:type="spellEnd"/>
          </w:p>
        </w:tc>
      </w:tr>
      <w:tr w:rsidR="000958AD" w:rsidRPr="006F660B" w:rsidTr="00AC2D3A">
        <w:trPr>
          <w:jc w:val="center"/>
        </w:trPr>
        <w:tc>
          <w:tcPr>
            <w:tcW w:w="3333" w:type="dxa"/>
            <w:vMerge/>
          </w:tcPr>
          <w:p w:rsidR="000958AD" w:rsidRPr="006F660B" w:rsidRDefault="000958AD" w:rsidP="00AC2D3A">
            <w:pPr>
              <w:ind w:right="62"/>
              <w:contextualSpacing/>
              <w:jc w:val="both"/>
              <w:rPr>
                <w:lang w:eastAsia="en-US"/>
              </w:rPr>
            </w:pPr>
          </w:p>
        </w:tc>
        <w:tc>
          <w:tcPr>
            <w:tcW w:w="1456" w:type="dxa"/>
            <w:vMerge w:val="restart"/>
          </w:tcPr>
          <w:p w:rsidR="000958AD" w:rsidRPr="006F660B" w:rsidRDefault="000958AD" w:rsidP="00AC2D3A">
            <w:pPr>
              <w:ind w:right="62"/>
              <w:contextualSpacing/>
              <w:jc w:val="both"/>
              <w:rPr>
                <w:lang w:eastAsia="en-US"/>
              </w:rPr>
            </w:pPr>
            <w:r w:rsidRPr="006F660B">
              <w:rPr>
                <w:lang w:eastAsia="en-US"/>
              </w:rPr>
              <w:t>всего</w:t>
            </w:r>
          </w:p>
          <w:p w:rsidR="000958AD" w:rsidRPr="006F660B" w:rsidRDefault="000958AD" w:rsidP="00AC2D3A">
            <w:pPr>
              <w:ind w:right="62"/>
              <w:contextualSpacing/>
              <w:jc w:val="both"/>
              <w:rPr>
                <w:lang w:eastAsia="en-US"/>
              </w:rPr>
            </w:pPr>
            <w:r w:rsidRPr="006F660B">
              <w:rPr>
                <w:lang w:eastAsia="en-US"/>
              </w:rPr>
              <w:lastRenderedPageBreak/>
              <w:t>2018-2020</w:t>
            </w:r>
          </w:p>
        </w:tc>
        <w:tc>
          <w:tcPr>
            <w:tcW w:w="3827" w:type="dxa"/>
            <w:gridSpan w:val="3"/>
          </w:tcPr>
          <w:p w:rsidR="000958AD" w:rsidRPr="006F660B" w:rsidRDefault="000958AD" w:rsidP="00AC2D3A">
            <w:pPr>
              <w:ind w:right="62"/>
              <w:contextualSpacing/>
              <w:jc w:val="both"/>
              <w:rPr>
                <w:lang w:eastAsia="en-US"/>
              </w:rPr>
            </w:pPr>
            <w:r w:rsidRPr="006F660B">
              <w:rPr>
                <w:lang w:eastAsia="en-US"/>
              </w:rPr>
              <w:lastRenderedPageBreak/>
              <w:t>В том числе по годам</w:t>
            </w:r>
          </w:p>
        </w:tc>
      </w:tr>
      <w:tr w:rsidR="000958AD" w:rsidRPr="006F660B" w:rsidTr="00AC2D3A">
        <w:trPr>
          <w:jc w:val="center"/>
        </w:trPr>
        <w:tc>
          <w:tcPr>
            <w:tcW w:w="3333" w:type="dxa"/>
            <w:vMerge/>
          </w:tcPr>
          <w:p w:rsidR="000958AD" w:rsidRPr="006F660B" w:rsidRDefault="000958AD" w:rsidP="00AC2D3A">
            <w:pPr>
              <w:ind w:right="62"/>
              <w:contextualSpacing/>
              <w:jc w:val="both"/>
              <w:rPr>
                <w:lang w:eastAsia="en-US"/>
              </w:rPr>
            </w:pPr>
          </w:p>
        </w:tc>
        <w:tc>
          <w:tcPr>
            <w:tcW w:w="1456" w:type="dxa"/>
            <w:vMerge/>
          </w:tcPr>
          <w:p w:rsidR="000958AD" w:rsidRPr="006F660B" w:rsidRDefault="000958AD" w:rsidP="00AC2D3A">
            <w:pPr>
              <w:ind w:right="62"/>
              <w:contextualSpacing/>
              <w:jc w:val="both"/>
              <w:rPr>
                <w:lang w:eastAsia="en-US"/>
              </w:rPr>
            </w:pPr>
          </w:p>
        </w:tc>
        <w:tc>
          <w:tcPr>
            <w:tcW w:w="1134" w:type="dxa"/>
          </w:tcPr>
          <w:p w:rsidR="000958AD" w:rsidRPr="006F660B" w:rsidRDefault="000958AD" w:rsidP="00AC2D3A">
            <w:pPr>
              <w:ind w:right="62"/>
              <w:contextualSpacing/>
              <w:jc w:val="both"/>
              <w:rPr>
                <w:lang w:eastAsia="en-US"/>
              </w:rPr>
            </w:pPr>
            <w:r w:rsidRPr="006F660B">
              <w:rPr>
                <w:lang w:eastAsia="en-US"/>
              </w:rPr>
              <w:t>2018</w:t>
            </w:r>
          </w:p>
        </w:tc>
        <w:tc>
          <w:tcPr>
            <w:tcW w:w="1276" w:type="dxa"/>
          </w:tcPr>
          <w:p w:rsidR="000958AD" w:rsidRPr="006F660B" w:rsidRDefault="000958AD" w:rsidP="00AC2D3A">
            <w:pPr>
              <w:ind w:right="62"/>
              <w:contextualSpacing/>
              <w:jc w:val="both"/>
              <w:rPr>
                <w:lang w:eastAsia="en-US"/>
              </w:rPr>
            </w:pPr>
            <w:r w:rsidRPr="006F660B">
              <w:rPr>
                <w:lang w:eastAsia="en-US"/>
              </w:rPr>
              <w:t>2019</w:t>
            </w:r>
          </w:p>
        </w:tc>
        <w:tc>
          <w:tcPr>
            <w:tcW w:w="1417" w:type="dxa"/>
          </w:tcPr>
          <w:p w:rsidR="000958AD" w:rsidRPr="006F660B" w:rsidRDefault="000958AD" w:rsidP="00AC2D3A">
            <w:pPr>
              <w:ind w:right="62"/>
              <w:contextualSpacing/>
              <w:jc w:val="both"/>
              <w:rPr>
                <w:lang w:eastAsia="en-US"/>
              </w:rPr>
            </w:pPr>
            <w:r w:rsidRPr="006F660B">
              <w:rPr>
                <w:lang w:eastAsia="en-US"/>
              </w:rPr>
              <w:t>2020</w:t>
            </w:r>
          </w:p>
        </w:tc>
      </w:tr>
      <w:tr w:rsidR="000958AD" w:rsidRPr="006F660B" w:rsidTr="00AC2D3A">
        <w:trPr>
          <w:jc w:val="center"/>
        </w:trPr>
        <w:tc>
          <w:tcPr>
            <w:tcW w:w="3333" w:type="dxa"/>
          </w:tcPr>
          <w:p w:rsidR="000958AD" w:rsidRPr="006F660B" w:rsidRDefault="000958AD" w:rsidP="00AC2D3A">
            <w:pPr>
              <w:ind w:right="62"/>
              <w:contextualSpacing/>
              <w:jc w:val="both"/>
              <w:rPr>
                <w:lang w:eastAsia="en-US"/>
              </w:rPr>
            </w:pPr>
            <w:r w:rsidRPr="006F660B">
              <w:rPr>
                <w:lang w:eastAsia="en-US"/>
              </w:rPr>
              <w:lastRenderedPageBreak/>
              <w:t>Всего, в т.ч.:</w:t>
            </w:r>
          </w:p>
        </w:tc>
        <w:tc>
          <w:tcPr>
            <w:tcW w:w="1456" w:type="dxa"/>
          </w:tcPr>
          <w:p w:rsidR="000958AD" w:rsidRPr="006F660B" w:rsidRDefault="000958AD" w:rsidP="00AC2D3A">
            <w:pPr>
              <w:ind w:right="62"/>
              <w:contextualSpacing/>
              <w:jc w:val="both"/>
              <w:rPr>
                <w:lang w:eastAsia="en-US"/>
              </w:rPr>
            </w:pPr>
            <w:r w:rsidRPr="006F660B">
              <w:rPr>
                <w:lang w:eastAsia="en-US"/>
              </w:rPr>
              <w:t>4000,0</w:t>
            </w:r>
          </w:p>
        </w:tc>
        <w:tc>
          <w:tcPr>
            <w:tcW w:w="1134" w:type="dxa"/>
          </w:tcPr>
          <w:p w:rsidR="000958AD" w:rsidRPr="006F660B" w:rsidRDefault="000958AD" w:rsidP="00AC2D3A">
            <w:pPr>
              <w:ind w:right="62"/>
              <w:contextualSpacing/>
              <w:jc w:val="both"/>
              <w:rPr>
                <w:lang w:eastAsia="en-US"/>
              </w:rPr>
            </w:pPr>
            <w:r w:rsidRPr="006F660B">
              <w:rPr>
                <w:lang w:eastAsia="en-US"/>
              </w:rPr>
              <w:t>0,0</w:t>
            </w:r>
          </w:p>
        </w:tc>
        <w:tc>
          <w:tcPr>
            <w:tcW w:w="1276" w:type="dxa"/>
          </w:tcPr>
          <w:p w:rsidR="000958AD" w:rsidRPr="006F660B" w:rsidRDefault="000958AD" w:rsidP="00AC2D3A">
            <w:pPr>
              <w:ind w:right="-157"/>
              <w:contextualSpacing/>
              <w:jc w:val="both"/>
              <w:rPr>
                <w:lang w:eastAsia="en-US"/>
              </w:rPr>
            </w:pPr>
            <w:r w:rsidRPr="006F660B">
              <w:rPr>
                <w:lang w:eastAsia="en-US"/>
              </w:rPr>
              <w:t>2000,0</w:t>
            </w:r>
          </w:p>
        </w:tc>
        <w:tc>
          <w:tcPr>
            <w:tcW w:w="1417" w:type="dxa"/>
          </w:tcPr>
          <w:p w:rsidR="000958AD" w:rsidRPr="006F660B" w:rsidRDefault="000958AD" w:rsidP="00AC2D3A">
            <w:pPr>
              <w:ind w:right="62"/>
              <w:contextualSpacing/>
              <w:jc w:val="both"/>
              <w:rPr>
                <w:lang w:eastAsia="en-US"/>
              </w:rPr>
            </w:pPr>
            <w:r w:rsidRPr="006F660B">
              <w:rPr>
                <w:lang w:eastAsia="en-US"/>
              </w:rPr>
              <w:t>2000,0</w:t>
            </w:r>
          </w:p>
        </w:tc>
      </w:tr>
      <w:tr w:rsidR="000958AD" w:rsidRPr="006F660B" w:rsidTr="00AC2D3A">
        <w:trPr>
          <w:jc w:val="center"/>
        </w:trPr>
        <w:tc>
          <w:tcPr>
            <w:tcW w:w="3333" w:type="dxa"/>
          </w:tcPr>
          <w:p w:rsidR="000958AD" w:rsidRPr="006F660B" w:rsidRDefault="000958AD" w:rsidP="00AC2D3A">
            <w:pPr>
              <w:ind w:right="62"/>
              <w:contextualSpacing/>
              <w:jc w:val="both"/>
              <w:rPr>
                <w:lang w:eastAsia="en-US"/>
              </w:rPr>
            </w:pPr>
            <w:r w:rsidRPr="006F660B">
              <w:rPr>
                <w:lang w:eastAsia="en-US"/>
              </w:rPr>
              <w:t xml:space="preserve">Бюджет МР </w:t>
            </w:r>
          </w:p>
        </w:tc>
        <w:tc>
          <w:tcPr>
            <w:tcW w:w="1456" w:type="dxa"/>
          </w:tcPr>
          <w:p w:rsidR="000958AD" w:rsidRPr="006F660B" w:rsidRDefault="000958AD" w:rsidP="00AC2D3A">
            <w:pPr>
              <w:ind w:right="62"/>
              <w:contextualSpacing/>
              <w:jc w:val="both"/>
              <w:rPr>
                <w:lang w:eastAsia="en-US"/>
              </w:rPr>
            </w:pPr>
            <w:r w:rsidRPr="006F660B">
              <w:rPr>
                <w:lang w:eastAsia="en-US"/>
              </w:rPr>
              <w:t>1200</w:t>
            </w:r>
          </w:p>
        </w:tc>
        <w:tc>
          <w:tcPr>
            <w:tcW w:w="1134" w:type="dxa"/>
          </w:tcPr>
          <w:p w:rsidR="000958AD" w:rsidRPr="006F660B" w:rsidRDefault="000958AD" w:rsidP="00AC2D3A">
            <w:pPr>
              <w:ind w:right="62"/>
              <w:contextualSpacing/>
              <w:jc w:val="both"/>
              <w:rPr>
                <w:lang w:eastAsia="en-US"/>
              </w:rPr>
            </w:pPr>
            <w:r w:rsidRPr="006F660B">
              <w:rPr>
                <w:lang w:eastAsia="en-US"/>
              </w:rPr>
              <w:t>0</w:t>
            </w:r>
          </w:p>
        </w:tc>
        <w:tc>
          <w:tcPr>
            <w:tcW w:w="1276" w:type="dxa"/>
          </w:tcPr>
          <w:p w:rsidR="000958AD" w:rsidRPr="006F660B" w:rsidRDefault="000958AD" w:rsidP="00AC2D3A">
            <w:pPr>
              <w:ind w:right="-157"/>
              <w:contextualSpacing/>
              <w:jc w:val="both"/>
              <w:rPr>
                <w:lang w:eastAsia="en-US"/>
              </w:rPr>
            </w:pPr>
            <w:r w:rsidRPr="006F660B">
              <w:rPr>
                <w:lang w:eastAsia="en-US"/>
              </w:rPr>
              <w:t>600,0</w:t>
            </w:r>
          </w:p>
        </w:tc>
        <w:tc>
          <w:tcPr>
            <w:tcW w:w="1417" w:type="dxa"/>
          </w:tcPr>
          <w:p w:rsidR="000958AD" w:rsidRPr="006F660B" w:rsidRDefault="000958AD" w:rsidP="00AC2D3A">
            <w:pPr>
              <w:ind w:right="62"/>
              <w:contextualSpacing/>
              <w:jc w:val="both"/>
              <w:rPr>
                <w:lang w:eastAsia="en-US"/>
              </w:rPr>
            </w:pPr>
            <w:r w:rsidRPr="006F660B">
              <w:rPr>
                <w:lang w:eastAsia="en-US"/>
              </w:rPr>
              <w:t>600,0</w:t>
            </w:r>
          </w:p>
        </w:tc>
      </w:tr>
      <w:tr w:rsidR="000958AD" w:rsidRPr="006F660B" w:rsidTr="00AC2D3A">
        <w:trPr>
          <w:jc w:val="center"/>
        </w:trPr>
        <w:tc>
          <w:tcPr>
            <w:tcW w:w="3333" w:type="dxa"/>
          </w:tcPr>
          <w:p w:rsidR="000958AD" w:rsidRPr="006F660B" w:rsidRDefault="000958AD" w:rsidP="00AC2D3A">
            <w:pPr>
              <w:ind w:right="62"/>
              <w:contextualSpacing/>
              <w:jc w:val="both"/>
              <w:rPr>
                <w:lang w:eastAsia="en-US"/>
              </w:rPr>
            </w:pPr>
            <w:r w:rsidRPr="006F660B">
              <w:rPr>
                <w:lang w:eastAsia="en-US"/>
              </w:rPr>
              <w:t>Бюджет Забайкальского края</w:t>
            </w:r>
          </w:p>
        </w:tc>
        <w:tc>
          <w:tcPr>
            <w:tcW w:w="1456" w:type="dxa"/>
          </w:tcPr>
          <w:p w:rsidR="000958AD" w:rsidRPr="006F660B" w:rsidRDefault="000958AD" w:rsidP="00AC2D3A">
            <w:pPr>
              <w:ind w:right="62"/>
              <w:contextualSpacing/>
              <w:jc w:val="both"/>
              <w:rPr>
                <w:lang w:eastAsia="en-US"/>
              </w:rPr>
            </w:pPr>
            <w:r w:rsidRPr="006F660B">
              <w:rPr>
                <w:lang w:eastAsia="en-US"/>
              </w:rPr>
              <w:t>2800</w:t>
            </w:r>
          </w:p>
        </w:tc>
        <w:tc>
          <w:tcPr>
            <w:tcW w:w="1134" w:type="dxa"/>
          </w:tcPr>
          <w:p w:rsidR="000958AD" w:rsidRPr="006F660B" w:rsidRDefault="000958AD" w:rsidP="00AC2D3A">
            <w:pPr>
              <w:ind w:right="62"/>
              <w:contextualSpacing/>
              <w:jc w:val="both"/>
              <w:rPr>
                <w:lang w:eastAsia="en-US"/>
              </w:rPr>
            </w:pPr>
          </w:p>
        </w:tc>
        <w:tc>
          <w:tcPr>
            <w:tcW w:w="1276" w:type="dxa"/>
          </w:tcPr>
          <w:p w:rsidR="000958AD" w:rsidRPr="006F660B" w:rsidRDefault="000958AD" w:rsidP="00AC2D3A">
            <w:pPr>
              <w:ind w:right="-157"/>
              <w:contextualSpacing/>
              <w:jc w:val="both"/>
              <w:rPr>
                <w:lang w:eastAsia="en-US"/>
              </w:rPr>
            </w:pPr>
            <w:r w:rsidRPr="006F660B">
              <w:rPr>
                <w:lang w:eastAsia="en-US"/>
              </w:rPr>
              <w:t>1400,0</w:t>
            </w:r>
          </w:p>
        </w:tc>
        <w:tc>
          <w:tcPr>
            <w:tcW w:w="1417" w:type="dxa"/>
          </w:tcPr>
          <w:p w:rsidR="000958AD" w:rsidRPr="006F660B" w:rsidRDefault="000958AD" w:rsidP="00AC2D3A">
            <w:pPr>
              <w:ind w:right="62"/>
              <w:contextualSpacing/>
              <w:jc w:val="both"/>
              <w:rPr>
                <w:lang w:eastAsia="en-US"/>
              </w:rPr>
            </w:pPr>
            <w:r w:rsidRPr="006F660B">
              <w:rPr>
                <w:lang w:eastAsia="en-US"/>
              </w:rPr>
              <w:t>1400,0</w:t>
            </w:r>
          </w:p>
        </w:tc>
      </w:tr>
    </w:tbl>
    <w:p w:rsidR="000958AD" w:rsidRPr="006F660B" w:rsidRDefault="000958AD" w:rsidP="000958AD">
      <w:pPr>
        <w:shd w:val="clear" w:color="auto" w:fill="FFFFFF"/>
        <w:ind w:left="-108" w:right="62" w:firstLine="709"/>
        <w:jc w:val="both"/>
        <w:rPr>
          <w:b/>
          <w:lang w:eastAsia="en-US"/>
        </w:rPr>
      </w:pPr>
    </w:p>
    <w:p w:rsidR="000958AD" w:rsidRPr="000958AD" w:rsidRDefault="000958AD" w:rsidP="000958AD">
      <w:pPr>
        <w:pStyle w:val="aa"/>
        <w:ind w:left="852"/>
        <w:jc w:val="center"/>
        <w:rPr>
          <w:b/>
          <w:bCs/>
        </w:rPr>
      </w:pPr>
      <w:r w:rsidRPr="000958AD">
        <w:rPr>
          <w:b/>
          <w:bCs/>
        </w:rPr>
        <w:t>8.</w:t>
      </w:r>
      <w:r w:rsidRPr="000958AD">
        <w:rPr>
          <w:b/>
          <w:sz w:val="28"/>
          <w:szCs w:val="28"/>
        </w:rPr>
        <w:t xml:space="preserve"> </w:t>
      </w:r>
      <w:r w:rsidRPr="000958AD">
        <w:rPr>
          <w:rStyle w:val="260"/>
          <w:b/>
          <w:sz w:val="24"/>
        </w:rPr>
        <w:t xml:space="preserve">Риски и меры по управлению рисками с целью </w:t>
      </w:r>
      <w:r w:rsidRPr="000958AD">
        <w:rPr>
          <w:rStyle w:val="270"/>
          <w:b/>
        </w:rPr>
        <w:t xml:space="preserve">минимизации их </w:t>
      </w:r>
      <w:r w:rsidRPr="000958AD">
        <w:rPr>
          <w:rStyle w:val="260"/>
          <w:b/>
          <w:sz w:val="24"/>
        </w:rPr>
        <w:t>влияния на достижение целей подпрограммы</w:t>
      </w:r>
    </w:p>
    <w:p w:rsidR="000958AD" w:rsidRDefault="000958AD" w:rsidP="000958AD">
      <w:pPr>
        <w:pStyle w:val="Default"/>
        <w:ind w:firstLine="709"/>
        <w:contextualSpacing/>
        <w:jc w:val="both"/>
      </w:pPr>
    </w:p>
    <w:p w:rsidR="000958AD" w:rsidRPr="006F660B" w:rsidRDefault="000958AD" w:rsidP="000958AD">
      <w:pPr>
        <w:pStyle w:val="Default"/>
        <w:ind w:firstLine="709"/>
        <w:contextualSpacing/>
        <w:jc w:val="both"/>
      </w:pPr>
      <w:r w:rsidRPr="006F660B">
        <w:t xml:space="preserve">Риски реализации подпрограммы разделены </w:t>
      </w:r>
      <w:proofErr w:type="gramStart"/>
      <w:r w:rsidRPr="006F660B">
        <w:t>на</w:t>
      </w:r>
      <w:proofErr w:type="gramEnd"/>
      <w:r w:rsidRPr="006F660B">
        <w:t xml:space="preserve">: </w:t>
      </w:r>
    </w:p>
    <w:p w:rsidR="000958AD" w:rsidRPr="006F660B" w:rsidRDefault="000958AD" w:rsidP="000958AD">
      <w:pPr>
        <w:pStyle w:val="Default"/>
        <w:ind w:firstLine="709"/>
        <w:contextualSpacing/>
        <w:jc w:val="both"/>
      </w:pPr>
      <w:r w:rsidRPr="006F660B">
        <w:t xml:space="preserve">-внутренние, которые относятся к сфере компетенции ответственного исполнителя подпрограммы; </w:t>
      </w:r>
    </w:p>
    <w:p w:rsidR="000958AD" w:rsidRPr="006F660B" w:rsidRDefault="000958AD" w:rsidP="000958AD">
      <w:pPr>
        <w:pStyle w:val="Default"/>
        <w:ind w:firstLine="709"/>
        <w:contextualSpacing/>
        <w:jc w:val="both"/>
      </w:pPr>
      <w:proofErr w:type="gramStart"/>
      <w:r w:rsidRPr="006F660B">
        <w:t xml:space="preserve">-внешние, наступление которых не зависит от действий ответственного исполнителя подпрограммы. </w:t>
      </w:r>
      <w:proofErr w:type="gramEnd"/>
    </w:p>
    <w:p w:rsidR="000958AD" w:rsidRPr="007461FA" w:rsidRDefault="000958AD" w:rsidP="000958AD">
      <w:pPr>
        <w:pStyle w:val="Default"/>
        <w:ind w:firstLine="709"/>
        <w:contextualSpacing/>
        <w:jc w:val="both"/>
      </w:pPr>
      <w:r w:rsidRPr="006F660B">
        <w:t>При реализации подпрограммы осуществляются</w:t>
      </w:r>
      <w:r w:rsidRPr="007461FA">
        <w:t xml:space="preserve"> меры, направленные на предотвращение негативного воздействия внутренних и внешних рисков, а также повышение </w:t>
      </w:r>
      <w:proofErr w:type="gramStart"/>
      <w:r w:rsidRPr="007461FA">
        <w:t xml:space="preserve">уровня гарантированности достижения ожидаемых результатов реализации </w:t>
      </w:r>
      <w:r>
        <w:t>подп</w:t>
      </w:r>
      <w:r w:rsidRPr="007461FA">
        <w:t>рограммы</w:t>
      </w:r>
      <w:proofErr w:type="gramEnd"/>
      <w:r w:rsidRPr="007461FA">
        <w:t xml:space="preserve">. </w:t>
      </w:r>
    </w:p>
    <w:p w:rsidR="000958AD" w:rsidRPr="007461FA" w:rsidRDefault="000958AD" w:rsidP="000958AD">
      <w:pPr>
        <w:pStyle w:val="Default"/>
        <w:ind w:firstLine="709"/>
        <w:contextualSpacing/>
        <w:jc w:val="both"/>
      </w:pPr>
      <w:r w:rsidRPr="007461FA">
        <w:t xml:space="preserve">К внутренним рискам реализации </w:t>
      </w:r>
      <w:r>
        <w:t>подп</w:t>
      </w:r>
      <w:r w:rsidRPr="007461FA">
        <w:t xml:space="preserve">рограммы относится: </w:t>
      </w:r>
    </w:p>
    <w:p w:rsidR="000958AD" w:rsidRPr="007461FA" w:rsidRDefault="000958AD" w:rsidP="000958AD">
      <w:pPr>
        <w:pStyle w:val="Default"/>
        <w:ind w:firstLine="709"/>
        <w:contextualSpacing/>
        <w:jc w:val="both"/>
      </w:pPr>
      <w:r w:rsidRPr="007461FA">
        <w:t xml:space="preserve">-несвоевременная разработка, согласование и принятие нормативно-правовых </w:t>
      </w:r>
      <w:r>
        <w:t>актов</w:t>
      </w:r>
      <w:r w:rsidRPr="007461FA">
        <w:t xml:space="preserve">, обеспечивающих выполнение основных мероприятий </w:t>
      </w:r>
      <w:r>
        <w:t>подп</w:t>
      </w:r>
      <w:r w:rsidRPr="007461FA">
        <w:t xml:space="preserve">рограммы; </w:t>
      </w:r>
    </w:p>
    <w:p w:rsidR="000958AD" w:rsidRPr="007461FA" w:rsidRDefault="000958AD" w:rsidP="000958AD">
      <w:pPr>
        <w:pStyle w:val="Default"/>
        <w:ind w:firstLine="709"/>
        <w:contextualSpacing/>
        <w:jc w:val="both"/>
      </w:pPr>
      <w:r w:rsidRPr="007461FA">
        <w:t xml:space="preserve">-недостаточная оперативность корректировки хода реализации </w:t>
      </w:r>
      <w:r>
        <w:t>подп</w:t>
      </w:r>
      <w:r w:rsidRPr="007461FA">
        <w:t xml:space="preserve">рограммы при наступлении внешних рисков реализации </w:t>
      </w:r>
      <w:r>
        <w:t>подп</w:t>
      </w:r>
      <w:r w:rsidRPr="007461FA">
        <w:t xml:space="preserve">рограммы. </w:t>
      </w:r>
    </w:p>
    <w:p w:rsidR="000958AD" w:rsidRPr="007461FA" w:rsidRDefault="000958AD" w:rsidP="000958AD">
      <w:pPr>
        <w:pStyle w:val="Default"/>
        <w:ind w:firstLine="709"/>
        <w:contextualSpacing/>
        <w:jc w:val="both"/>
      </w:pPr>
      <w:r w:rsidRPr="007461FA">
        <w:t xml:space="preserve">Мерами управления внутренними рисками реализации </w:t>
      </w:r>
      <w:r>
        <w:t>подп</w:t>
      </w:r>
      <w:r w:rsidRPr="007461FA">
        <w:t xml:space="preserve">рограммы являются детальное планирование хода реализации </w:t>
      </w:r>
      <w:r>
        <w:t>подп</w:t>
      </w:r>
      <w:r w:rsidRPr="007461FA">
        <w:t xml:space="preserve">рограммы, оперативный мониторинг хода реализации </w:t>
      </w:r>
      <w:r>
        <w:t>подп</w:t>
      </w:r>
      <w:r w:rsidRPr="007461FA">
        <w:t xml:space="preserve">рограммы, своевременная корректировка основных мероприятий </w:t>
      </w:r>
      <w:r>
        <w:t>подп</w:t>
      </w:r>
      <w:r w:rsidRPr="007461FA">
        <w:t xml:space="preserve">рограммы и сроков их исполнения с сохранением ожидаемых результатов их реализации. </w:t>
      </w:r>
    </w:p>
    <w:p w:rsidR="000958AD" w:rsidRPr="007461FA" w:rsidRDefault="000958AD" w:rsidP="000958AD">
      <w:pPr>
        <w:pStyle w:val="Default"/>
        <w:ind w:firstLine="709"/>
        <w:contextualSpacing/>
        <w:jc w:val="both"/>
      </w:pPr>
      <w:r w:rsidRPr="007461FA">
        <w:t xml:space="preserve">К внешним рискам реализации </w:t>
      </w:r>
      <w:r>
        <w:t>подп</w:t>
      </w:r>
      <w:r w:rsidRPr="007461FA">
        <w:t xml:space="preserve">рограммы относятся: </w:t>
      </w:r>
    </w:p>
    <w:p w:rsidR="000958AD" w:rsidRPr="007461FA" w:rsidRDefault="000958AD" w:rsidP="000958AD">
      <w:pPr>
        <w:pStyle w:val="Default"/>
        <w:ind w:firstLine="709"/>
        <w:contextualSpacing/>
        <w:jc w:val="both"/>
      </w:pPr>
      <w:r w:rsidRPr="007461FA">
        <w:t xml:space="preserve">-экономические риски, связанные с возможным уменьшением объема средств муниципального бюджета, направляемых на реализацию мероприятий </w:t>
      </w:r>
      <w:r>
        <w:t>подп</w:t>
      </w:r>
      <w:r w:rsidRPr="007461FA">
        <w:t xml:space="preserve">рограммы; </w:t>
      </w:r>
    </w:p>
    <w:p w:rsidR="000958AD" w:rsidRPr="0001135B" w:rsidRDefault="000958AD" w:rsidP="000958AD">
      <w:pPr>
        <w:pStyle w:val="Default"/>
        <w:ind w:firstLine="709"/>
        <w:contextualSpacing/>
        <w:jc w:val="both"/>
      </w:pPr>
      <w:r w:rsidRPr="007461FA">
        <w:t xml:space="preserve">-законодательные риски, связанные с несовершенством федерального </w:t>
      </w:r>
      <w:r w:rsidRPr="0001135B">
        <w:t xml:space="preserve">законодательства и законодательства Забайкальского края в сфере энергосбережения. </w:t>
      </w:r>
    </w:p>
    <w:p w:rsidR="000958AD" w:rsidRPr="00937837" w:rsidRDefault="000958AD" w:rsidP="000958AD">
      <w:pPr>
        <w:ind w:firstLine="709"/>
        <w:contextualSpacing/>
        <w:jc w:val="both"/>
      </w:pPr>
      <w:r w:rsidRPr="0001135B">
        <w:t xml:space="preserve">Мерами управления внешними рисками реализации подпрограммы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подпрограммы, оперативное реагирование на изменение федерального законодательства и законодательства Забайкальского края. </w:t>
      </w:r>
    </w:p>
    <w:p w:rsidR="000958AD" w:rsidRDefault="000958AD" w:rsidP="000958AD">
      <w:pPr>
        <w:jc w:val="center"/>
        <w:rPr>
          <w:spacing w:val="-1"/>
          <w:sz w:val="28"/>
          <w:szCs w:val="28"/>
        </w:rPr>
      </w:pPr>
      <w:r>
        <w:rPr>
          <w:spacing w:val="-1"/>
          <w:sz w:val="28"/>
          <w:szCs w:val="28"/>
        </w:rPr>
        <w:t>_______________________________</w:t>
      </w:r>
    </w:p>
    <w:sectPr w:rsidR="000958AD"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B2175D"/>
    <w:multiLevelType w:val="hybridMultilevel"/>
    <w:tmpl w:val="057849D4"/>
    <w:lvl w:ilvl="0" w:tplc="A1D4C80E">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C287935"/>
    <w:multiLevelType w:val="hybridMultilevel"/>
    <w:tmpl w:val="8D30E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30"/>
  </w:num>
  <w:num w:numId="4">
    <w:abstractNumId w:val="34"/>
  </w:num>
  <w:num w:numId="5">
    <w:abstractNumId w:val="32"/>
  </w:num>
  <w:num w:numId="6">
    <w:abstractNumId w:val="15"/>
  </w:num>
  <w:num w:numId="7">
    <w:abstractNumId w:val="26"/>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3"/>
  </w:num>
  <w:num w:numId="27">
    <w:abstractNumId w:val="17"/>
  </w:num>
  <w:num w:numId="28">
    <w:abstractNumId w:val="31"/>
  </w:num>
  <w:num w:numId="29">
    <w:abstractNumId w:val="27"/>
  </w:num>
  <w:num w:numId="30">
    <w:abstractNumId w:val="18"/>
  </w:num>
  <w:num w:numId="31">
    <w:abstractNumId w:val="10"/>
  </w:num>
  <w:num w:numId="32">
    <w:abstractNumId w:val="12"/>
  </w:num>
  <w:num w:numId="33">
    <w:abstractNumId w:val="19"/>
  </w:num>
  <w:num w:numId="34">
    <w:abstractNumId w:val="13"/>
  </w:num>
  <w:num w:numId="35">
    <w:abstractNumId w:val="22"/>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58AD"/>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1C5"/>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link w:val="ab"/>
    <w:uiPriority w:val="99"/>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0958AD"/>
    <w:pPr>
      <w:spacing w:before="100" w:beforeAutospacing="1" w:after="100" w:afterAutospacing="1"/>
    </w:pPr>
  </w:style>
  <w:style w:type="character" w:customStyle="1" w:styleId="ab">
    <w:name w:val="Абзац списка Знак"/>
    <w:link w:val="aa"/>
    <w:uiPriority w:val="99"/>
    <w:locked/>
    <w:rsid w:val="000958AD"/>
    <w:rPr>
      <w:sz w:val="24"/>
      <w:szCs w:val="24"/>
      <w:lang w:eastAsia="ar-SA"/>
    </w:rPr>
  </w:style>
  <w:style w:type="paragraph" w:customStyle="1" w:styleId="Default">
    <w:name w:val="Default"/>
    <w:rsid w:val="000958AD"/>
    <w:pPr>
      <w:autoSpaceDE w:val="0"/>
      <w:autoSpaceDN w:val="0"/>
      <w:adjustRightInd w:val="0"/>
    </w:pPr>
    <w:rPr>
      <w:color w:val="000000"/>
      <w:sz w:val="24"/>
      <w:szCs w:val="24"/>
    </w:rPr>
  </w:style>
  <w:style w:type="character" w:customStyle="1" w:styleId="260">
    <w:name w:val="Основной текст26"/>
    <w:uiPriority w:val="99"/>
    <w:rsid w:val="000958AD"/>
    <w:rPr>
      <w:rFonts w:ascii="Times New Roman" w:hAnsi="Times New Roman"/>
      <w:spacing w:val="10"/>
      <w:sz w:val="25"/>
      <w:shd w:val="clear" w:color="auto" w:fill="FFFFFF"/>
    </w:rPr>
  </w:style>
  <w:style w:type="character" w:customStyle="1" w:styleId="270">
    <w:name w:val="Основной текст27"/>
    <w:uiPriority w:val="99"/>
    <w:rsid w:val="000958AD"/>
    <w:rPr>
      <w:rFonts w:ascii="Times New Roman" w:hAnsi="Times New Roman"/>
      <w:spacing w:val="10"/>
      <w:sz w:val="25"/>
      <w:shd w:val="clear" w:color="auto" w:fill="FFFFFF"/>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2016-12-08T07:58:00Z</cp:lastPrinted>
  <dcterms:created xsi:type="dcterms:W3CDTF">2018-02-21T07:44:00Z</dcterms:created>
  <dcterms:modified xsi:type="dcterms:W3CDTF">2018-02-21T07:44:00Z</dcterms:modified>
</cp:coreProperties>
</file>