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B4F8E">
        <w:rPr>
          <w:sz w:val="28"/>
        </w:rPr>
        <w:t>30</w:t>
      </w:r>
      <w:r w:rsidR="00E36B13">
        <w:rPr>
          <w:sz w:val="28"/>
        </w:rPr>
        <w:t xml:space="preserve"> </w:t>
      </w:r>
      <w:r w:rsidR="00613407">
        <w:rPr>
          <w:sz w:val="28"/>
        </w:rPr>
        <w:t>марта</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EF5337">
        <w:rPr>
          <w:sz w:val="28"/>
        </w:rPr>
        <w:t>148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EF5337" w:rsidRDefault="00EF5337" w:rsidP="00EF5337">
      <w:pPr>
        <w:pStyle w:val="ab"/>
        <w:jc w:val="center"/>
        <w:rPr>
          <w:b/>
          <w:sz w:val="28"/>
          <w:szCs w:val="28"/>
        </w:rPr>
      </w:pPr>
      <w:r w:rsidRPr="002E2ECF">
        <w:rPr>
          <w:b/>
          <w:sz w:val="28"/>
          <w:szCs w:val="28"/>
        </w:rPr>
        <w:t>Об утверждении порядка</w:t>
      </w:r>
      <w:r w:rsidRPr="002E2ECF">
        <w:rPr>
          <w:sz w:val="28"/>
          <w:szCs w:val="28"/>
        </w:rPr>
        <w:t xml:space="preserve"> </w:t>
      </w:r>
      <w:r w:rsidRPr="002E2ECF">
        <w:rPr>
          <w:b/>
          <w:sz w:val="28"/>
          <w:szCs w:val="28"/>
        </w:rPr>
        <w:t>урегулирования кредиторской (дебито</w:t>
      </w:r>
      <w:r w:rsidRPr="002E2ECF">
        <w:rPr>
          <w:b/>
          <w:sz w:val="28"/>
          <w:szCs w:val="28"/>
        </w:rPr>
        <w:t>р</w:t>
      </w:r>
      <w:r w:rsidRPr="002E2ECF">
        <w:rPr>
          <w:b/>
          <w:sz w:val="28"/>
          <w:szCs w:val="28"/>
        </w:rPr>
        <w:t>ской) задолженности муниципальных учреждений и главных распор</w:t>
      </w:r>
      <w:r w:rsidRPr="002E2ECF">
        <w:rPr>
          <w:b/>
          <w:sz w:val="28"/>
          <w:szCs w:val="28"/>
        </w:rPr>
        <w:t>я</w:t>
      </w:r>
      <w:r w:rsidRPr="002E2ECF">
        <w:rPr>
          <w:b/>
          <w:sz w:val="28"/>
          <w:szCs w:val="28"/>
        </w:rPr>
        <w:t>дителей средств бюджета муниципального района «Чернышевский район</w:t>
      </w:r>
      <w:r>
        <w:rPr>
          <w:b/>
          <w:sz w:val="28"/>
          <w:szCs w:val="28"/>
        </w:rPr>
        <w:t>»</w:t>
      </w:r>
      <w:r w:rsidRPr="002E2ECF">
        <w:rPr>
          <w:b/>
          <w:sz w:val="28"/>
          <w:szCs w:val="28"/>
        </w:rPr>
        <w:t xml:space="preserve"> и Плана мероприятий по недопущению возникновения необоснованной кр</w:t>
      </w:r>
      <w:r w:rsidRPr="002E2ECF">
        <w:rPr>
          <w:b/>
          <w:sz w:val="28"/>
          <w:szCs w:val="28"/>
        </w:rPr>
        <w:t>е</w:t>
      </w:r>
      <w:r w:rsidRPr="002E2ECF">
        <w:rPr>
          <w:b/>
          <w:sz w:val="28"/>
          <w:szCs w:val="28"/>
        </w:rPr>
        <w:t>диторской (дебиторской) задолженности</w:t>
      </w:r>
    </w:p>
    <w:p w:rsidR="00EF5337" w:rsidRDefault="00EF5337" w:rsidP="00EF5337">
      <w:pPr>
        <w:pStyle w:val="ab"/>
        <w:ind w:firstLine="709"/>
        <w:jc w:val="both"/>
        <w:rPr>
          <w:sz w:val="28"/>
          <w:szCs w:val="28"/>
        </w:rPr>
      </w:pPr>
    </w:p>
    <w:p w:rsidR="00EF5337" w:rsidRPr="00EF5337" w:rsidRDefault="00EF5337" w:rsidP="00EF5337">
      <w:pPr>
        <w:pStyle w:val="ab"/>
        <w:ind w:firstLine="709"/>
        <w:jc w:val="both"/>
        <w:rPr>
          <w:b/>
          <w:sz w:val="28"/>
          <w:szCs w:val="28"/>
        </w:rPr>
      </w:pPr>
      <w:r w:rsidRPr="00EF5337">
        <w:rPr>
          <w:sz w:val="28"/>
          <w:szCs w:val="28"/>
        </w:rPr>
        <w:t>В целях повышения качества управления финансами в части урегулирования кредиторской и дебиторской задолженности, а также ликвидации задолженности муниципальных учреждений, руководствуясь статьей 25 Устава муниципального района «Чернышевский район», администрация</w:t>
      </w:r>
      <w:r>
        <w:rPr>
          <w:sz w:val="28"/>
          <w:szCs w:val="28"/>
        </w:rPr>
        <w:t xml:space="preserve">    </w:t>
      </w:r>
      <w:r w:rsidRPr="00EF5337">
        <w:rPr>
          <w:sz w:val="28"/>
          <w:szCs w:val="28"/>
        </w:rPr>
        <w:t xml:space="preserve"> муниципального </w:t>
      </w:r>
      <w:r>
        <w:rPr>
          <w:sz w:val="28"/>
          <w:szCs w:val="28"/>
        </w:rPr>
        <w:t xml:space="preserve">    </w:t>
      </w:r>
      <w:r w:rsidRPr="00EF5337">
        <w:rPr>
          <w:sz w:val="28"/>
          <w:szCs w:val="28"/>
        </w:rPr>
        <w:t xml:space="preserve">района </w:t>
      </w:r>
      <w:r>
        <w:rPr>
          <w:sz w:val="28"/>
          <w:szCs w:val="28"/>
        </w:rPr>
        <w:t xml:space="preserve">     </w:t>
      </w:r>
      <w:r w:rsidRPr="00EF5337">
        <w:rPr>
          <w:sz w:val="28"/>
          <w:szCs w:val="28"/>
        </w:rPr>
        <w:t>«Чернышевский</w:t>
      </w:r>
      <w:r w:rsidRPr="00EF5337">
        <w:rPr>
          <w:sz w:val="28"/>
          <w:szCs w:val="28"/>
        </w:rPr>
        <w:tab/>
      </w:r>
      <w:r>
        <w:rPr>
          <w:sz w:val="28"/>
          <w:szCs w:val="28"/>
        </w:rPr>
        <w:t xml:space="preserve">     </w:t>
      </w:r>
      <w:r w:rsidRPr="00EF5337">
        <w:rPr>
          <w:sz w:val="28"/>
          <w:szCs w:val="28"/>
        </w:rPr>
        <w:t>район»</w:t>
      </w:r>
      <w:r>
        <w:rPr>
          <w:sz w:val="28"/>
          <w:szCs w:val="28"/>
        </w:rPr>
        <w:t xml:space="preserve">                               </w:t>
      </w:r>
      <w:r w:rsidRPr="00EF5337">
        <w:rPr>
          <w:b/>
          <w:sz w:val="28"/>
          <w:szCs w:val="28"/>
        </w:rPr>
        <w:t xml:space="preserve">п </w:t>
      </w:r>
      <w:proofErr w:type="gramStart"/>
      <w:r w:rsidRPr="00EF5337">
        <w:rPr>
          <w:b/>
          <w:sz w:val="28"/>
          <w:szCs w:val="28"/>
        </w:rPr>
        <w:t>о</w:t>
      </w:r>
      <w:proofErr w:type="gramEnd"/>
      <w:r w:rsidRPr="00EF5337">
        <w:rPr>
          <w:b/>
          <w:sz w:val="28"/>
          <w:szCs w:val="28"/>
        </w:rPr>
        <w:t xml:space="preserve"> с т а </w:t>
      </w:r>
      <w:proofErr w:type="spellStart"/>
      <w:r w:rsidRPr="00EF5337">
        <w:rPr>
          <w:b/>
          <w:sz w:val="28"/>
          <w:szCs w:val="28"/>
        </w:rPr>
        <w:t>н</w:t>
      </w:r>
      <w:proofErr w:type="spellEnd"/>
      <w:r w:rsidRPr="00EF5337">
        <w:rPr>
          <w:b/>
          <w:sz w:val="28"/>
          <w:szCs w:val="28"/>
        </w:rPr>
        <w:t xml:space="preserve"> о в л я е т:</w:t>
      </w:r>
    </w:p>
    <w:p w:rsidR="00EF5337" w:rsidRDefault="00EF5337" w:rsidP="00EF5337">
      <w:pPr>
        <w:pStyle w:val="ab"/>
        <w:ind w:firstLine="709"/>
        <w:jc w:val="both"/>
        <w:rPr>
          <w:sz w:val="28"/>
          <w:szCs w:val="28"/>
        </w:rPr>
      </w:pPr>
    </w:p>
    <w:p w:rsidR="00EF5337" w:rsidRDefault="00EF5337" w:rsidP="00EF5337">
      <w:pPr>
        <w:pStyle w:val="ab"/>
        <w:ind w:firstLine="709"/>
        <w:jc w:val="both"/>
        <w:rPr>
          <w:sz w:val="28"/>
          <w:szCs w:val="28"/>
        </w:rPr>
      </w:pPr>
      <w:r w:rsidRPr="00EF5337">
        <w:rPr>
          <w:sz w:val="28"/>
          <w:szCs w:val="28"/>
        </w:rPr>
        <w:t>1.</w:t>
      </w:r>
      <w:r>
        <w:rPr>
          <w:sz w:val="28"/>
          <w:szCs w:val="28"/>
        </w:rPr>
        <w:t xml:space="preserve"> </w:t>
      </w:r>
      <w:r w:rsidRPr="00EF5337">
        <w:rPr>
          <w:sz w:val="28"/>
          <w:szCs w:val="28"/>
        </w:rPr>
        <w:t>Утвердить:</w:t>
      </w:r>
    </w:p>
    <w:p w:rsidR="00EF5337" w:rsidRDefault="00EF5337" w:rsidP="00EF5337">
      <w:pPr>
        <w:pStyle w:val="ab"/>
        <w:ind w:firstLine="709"/>
        <w:jc w:val="both"/>
        <w:rPr>
          <w:sz w:val="28"/>
          <w:szCs w:val="28"/>
        </w:rPr>
      </w:pPr>
      <w:r w:rsidRPr="00EF5337">
        <w:rPr>
          <w:sz w:val="28"/>
          <w:szCs w:val="28"/>
        </w:rPr>
        <w:t xml:space="preserve">1.1. Порядок урегулирования кредиторской (дебиторской) задолженности муниципальных учреждений и главных распорядителей средств бюджета муниципального района «Чернышевский район» согласно приложению </w:t>
      </w:r>
      <w:r>
        <w:rPr>
          <w:sz w:val="28"/>
          <w:szCs w:val="28"/>
        </w:rPr>
        <w:t>№</w:t>
      </w:r>
      <w:r w:rsidRPr="00EF5337">
        <w:rPr>
          <w:sz w:val="28"/>
          <w:szCs w:val="28"/>
        </w:rPr>
        <w:t xml:space="preserve"> 1.</w:t>
      </w:r>
    </w:p>
    <w:p w:rsidR="00EF5337" w:rsidRPr="00EF5337" w:rsidRDefault="00EF5337" w:rsidP="00EF5337">
      <w:pPr>
        <w:pStyle w:val="ab"/>
        <w:ind w:firstLine="709"/>
        <w:jc w:val="both"/>
        <w:rPr>
          <w:sz w:val="28"/>
          <w:szCs w:val="28"/>
        </w:rPr>
      </w:pPr>
      <w:r w:rsidRPr="00EF5337">
        <w:rPr>
          <w:sz w:val="28"/>
          <w:szCs w:val="28"/>
        </w:rPr>
        <w:t>1.2.</w:t>
      </w:r>
      <w:r>
        <w:rPr>
          <w:sz w:val="28"/>
          <w:szCs w:val="28"/>
        </w:rPr>
        <w:t xml:space="preserve"> </w:t>
      </w:r>
      <w:r w:rsidRPr="00EF5337">
        <w:rPr>
          <w:sz w:val="28"/>
          <w:szCs w:val="28"/>
        </w:rPr>
        <w:t xml:space="preserve">План мероприятий по недопущению возникновения необоснованной кредиторской (дебиторской) задолженности согласно приложению </w:t>
      </w:r>
      <w:r>
        <w:rPr>
          <w:sz w:val="28"/>
          <w:szCs w:val="28"/>
        </w:rPr>
        <w:t>№</w:t>
      </w:r>
      <w:r w:rsidRPr="00EF5337">
        <w:rPr>
          <w:sz w:val="28"/>
          <w:szCs w:val="28"/>
        </w:rPr>
        <w:t xml:space="preserve"> 2.</w:t>
      </w:r>
      <w:r w:rsidRPr="00EF5337">
        <w:rPr>
          <w:sz w:val="28"/>
          <w:szCs w:val="28"/>
        </w:rPr>
        <w:br/>
        <w:t xml:space="preserve"> </w:t>
      </w:r>
      <w:r w:rsidRPr="00EF5337">
        <w:rPr>
          <w:sz w:val="28"/>
          <w:szCs w:val="28"/>
        </w:rPr>
        <w:tab/>
        <w:t>2. Главным распорядителям, получателям средств бюджета муниципального района «Чернышевский район»  обеспечить выполнение Плана мероприятий по недопущению возникновения необоснованной кредиторской (дебиторской) задолженности.</w:t>
      </w:r>
    </w:p>
    <w:p w:rsidR="00EF5337" w:rsidRPr="00EF5337" w:rsidRDefault="00EF5337" w:rsidP="00EF5337">
      <w:pPr>
        <w:pStyle w:val="ab"/>
        <w:ind w:firstLine="709"/>
        <w:jc w:val="both"/>
        <w:rPr>
          <w:sz w:val="28"/>
          <w:szCs w:val="28"/>
        </w:rPr>
      </w:pPr>
      <w:r w:rsidRPr="00EF5337">
        <w:rPr>
          <w:sz w:val="28"/>
          <w:szCs w:val="28"/>
        </w:rPr>
        <w:t xml:space="preserve">3. </w:t>
      </w:r>
      <w:proofErr w:type="gramStart"/>
      <w:r w:rsidRPr="00EF5337">
        <w:rPr>
          <w:sz w:val="28"/>
          <w:szCs w:val="28"/>
        </w:rPr>
        <w:t>Контроль за</w:t>
      </w:r>
      <w:proofErr w:type="gramEnd"/>
      <w:r w:rsidRPr="00EF5337">
        <w:rPr>
          <w:sz w:val="28"/>
          <w:szCs w:val="28"/>
        </w:rPr>
        <w:t xml:space="preserve"> исполнением настоящего постановления возложить на и.о. председателя Комитета по финансам администрации муниципального района «Чернышевский район» </w:t>
      </w:r>
      <w:proofErr w:type="spellStart"/>
      <w:r w:rsidRPr="00EF5337">
        <w:rPr>
          <w:sz w:val="28"/>
          <w:szCs w:val="28"/>
        </w:rPr>
        <w:t>Бериеву</w:t>
      </w:r>
      <w:proofErr w:type="spellEnd"/>
      <w:r w:rsidRPr="00EF5337">
        <w:rPr>
          <w:sz w:val="28"/>
          <w:szCs w:val="28"/>
        </w:rPr>
        <w:t xml:space="preserve"> В.Л. и  руководителей главных распорядителей бюджетных средств муниципального района «Чернышевский район».</w:t>
      </w:r>
    </w:p>
    <w:p w:rsidR="00EF5337" w:rsidRPr="00EF5337" w:rsidRDefault="00EF5337" w:rsidP="00EF5337">
      <w:pPr>
        <w:pStyle w:val="ab"/>
        <w:ind w:firstLine="709"/>
        <w:jc w:val="both"/>
        <w:rPr>
          <w:sz w:val="28"/>
          <w:szCs w:val="28"/>
        </w:rPr>
      </w:pPr>
      <w:r w:rsidRPr="00EF5337">
        <w:rPr>
          <w:sz w:val="28"/>
          <w:szCs w:val="28"/>
        </w:rPr>
        <w:t>4.  Настоящее постановление вступает в законную силу после официального опубликования.</w:t>
      </w:r>
    </w:p>
    <w:p w:rsidR="00EF5337" w:rsidRPr="00EF5337" w:rsidRDefault="00EF5337" w:rsidP="00EF5337">
      <w:pPr>
        <w:pStyle w:val="ab"/>
        <w:ind w:firstLine="709"/>
        <w:jc w:val="both"/>
        <w:rPr>
          <w:sz w:val="28"/>
          <w:szCs w:val="28"/>
        </w:rPr>
      </w:pPr>
      <w:r w:rsidRPr="00EF5337">
        <w:rPr>
          <w:sz w:val="28"/>
          <w:szCs w:val="28"/>
        </w:rPr>
        <w:t xml:space="preserve">5. Настоящее постановление опубликовать в газете «Наше время» и разместить на официальном сайте </w:t>
      </w:r>
      <w:proofErr w:type="spellStart"/>
      <w:r w:rsidRPr="00EF5337">
        <w:rPr>
          <w:sz w:val="28"/>
          <w:szCs w:val="28"/>
        </w:rPr>
        <w:t>www.че</w:t>
      </w:r>
      <w:r>
        <w:rPr>
          <w:sz w:val="28"/>
          <w:szCs w:val="28"/>
        </w:rPr>
        <w:t>р</w:t>
      </w:r>
      <w:r w:rsidRPr="00EF5337">
        <w:rPr>
          <w:sz w:val="28"/>
          <w:szCs w:val="28"/>
        </w:rPr>
        <w:t>нышевск</w:t>
      </w:r>
      <w:proofErr w:type="gramStart"/>
      <w:r w:rsidRPr="00EF5337">
        <w:rPr>
          <w:sz w:val="28"/>
          <w:szCs w:val="28"/>
        </w:rPr>
        <w:t>.з</w:t>
      </w:r>
      <w:proofErr w:type="gramEnd"/>
      <w:r w:rsidRPr="00EF5337">
        <w:rPr>
          <w:sz w:val="28"/>
          <w:szCs w:val="28"/>
        </w:rPr>
        <w:t>абайкальскийкрай.рф</w:t>
      </w:r>
      <w:proofErr w:type="spellEnd"/>
      <w:r w:rsidRPr="00EF5337">
        <w:rPr>
          <w:sz w:val="28"/>
          <w:szCs w:val="28"/>
        </w:rPr>
        <w:t xml:space="preserve"> в разделе Документы.</w:t>
      </w:r>
    </w:p>
    <w:p w:rsidR="00D7679A" w:rsidRDefault="00D7679A" w:rsidP="005351C2">
      <w:pPr>
        <w:rPr>
          <w:spacing w:val="-1"/>
          <w:sz w:val="28"/>
          <w:szCs w:val="28"/>
        </w:rPr>
      </w:pPr>
    </w:p>
    <w:p w:rsidR="00EF5337" w:rsidRDefault="00EF5337"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EF5337" w:rsidRDefault="00EF5337" w:rsidP="00EB4F8E">
      <w:pPr>
        <w:ind w:firstLine="567"/>
        <w:jc w:val="right"/>
      </w:pPr>
    </w:p>
    <w:p w:rsidR="00EF5337" w:rsidRDefault="00EF5337" w:rsidP="00EB4F8E">
      <w:pPr>
        <w:ind w:firstLine="567"/>
        <w:jc w:val="right"/>
      </w:pPr>
    </w:p>
    <w:p w:rsidR="00EB4F8E" w:rsidRPr="008D2DCC" w:rsidRDefault="00EB4F8E" w:rsidP="00EB4F8E">
      <w:pPr>
        <w:ind w:firstLine="567"/>
        <w:jc w:val="right"/>
      </w:pPr>
      <w:r w:rsidRPr="008D2DCC">
        <w:lastRenderedPageBreak/>
        <w:t xml:space="preserve">Приложение № 1 </w:t>
      </w:r>
    </w:p>
    <w:p w:rsidR="00EB4F8E" w:rsidRPr="008D2DCC" w:rsidRDefault="00EB4F8E" w:rsidP="00EB4F8E">
      <w:pPr>
        <w:ind w:firstLine="567"/>
        <w:jc w:val="right"/>
      </w:pPr>
      <w:r w:rsidRPr="008D2DCC">
        <w:t xml:space="preserve">к постановлению администрации </w:t>
      </w:r>
    </w:p>
    <w:p w:rsidR="00EB4F8E" w:rsidRPr="008D2DCC" w:rsidRDefault="00EB4F8E" w:rsidP="00EB4F8E">
      <w:pPr>
        <w:ind w:firstLine="567"/>
        <w:jc w:val="right"/>
      </w:pPr>
      <w:r w:rsidRPr="008D2DCC">
        <w:t xml:space="preserve">муниципального района </w:t>
      </w:r>
    </w:p>
    <w:p w:rsidR="00EB4F8E" w:rsidRPr="008D2DCC" w:rsidRDefault="00EB4F8E" w:rsidP="00EB4F8E">
      <w:pPr>
        <w:ind w:firstLine="567"/>
        <w:jc w:val="right"/>
      </w:pPr>
      <w:r w:rsidRPr="008D2DCC">
        <w:t xml:space="preserve">«Чернышевский район» </w:t>
      </w:r>
    </w:p>
    <w:p w:rsidR="00EB4F8E" w:rsidRDefault="00EB4F8E" w:rsidP="00EB4F8E">
      <w:pPr>
        <w:ind w:firstLine="567"/>
        <w:jc w:val="right"/>
      </w:pPr>
      <w:r w:rsidRPr="008D2DCC">
        <w:t xml:space="preserve">от </w:t>
      </w:r>
      <w:r w:rsidR="008D2DCC">
        <w:t xml:space="preserve">30 марта </w:t>
      </w:r>
      <w:r w:rsidRPr="008D2DCC">
        <w:t xml:space="preserve">2018г. № </w:t>
      </w:r>
      <w:r w:rsidR="008D2DCC">
        <w:t>1</w:t>
      </w:r>
      <w:r w:rsidR="00F32C55">
        <w:t>48</w:t>
      </w:r>
    </w:p>
    <w:p w:rsidR="00F32C55" w:rsidRPr="00ED0EBC" w:rsidRDefault="00F32C55" w:rsidP="00EB4F8E">
      <w:pPr>
        <w:ind w:firstLine="567"/>
        <w:jc w:val="right"/>
        <w:rPr>
          <w:sz w:val="28"/>
          <w:szCs w:val="28"/>
        </w:rPr>
      </w:pPr>
    </w:p>
    <w:p w:rsidR="00EF5337" w:rsidRDefault="00EF5337" w:rsidP="00EF5337">
      <w:pPr>
        <w:pStyle w:val="ab"/>
        <w:jc w:val="center"/>
        <w:rPr>
          <w:b/>
          <w:sz w:val="28"/>
          <w:szCs w:val="28"/>
        </w:rPr>
      </w:pPr>
      <w:r w:rsidRPr="00685CCC">
        <w:rPr>
          <w:b/>
          <w:sz w:val="28"/>
          <w:szCs w:val="28"/>
        </w:rPr>
        <w:t>Порядок урегулирования кредиторской (дебиторской) задолженности муниципальных учреждений и главных распорядителей средств бюджета муниципального района «Чернышевский район</w:t>
      </w:r>
    </w:p>
    <w:p w:rsidR="00F32C55" w:rsidRPr="00685CCC" w:rsidRDefault="00F32C55" w:rsidP="00EF5337">
      <w:pPr>
        <w:pStyle w:val="ab"/>
        <w:jc w:val="center"/>
        <w:rPr>
          <w:b/>
          <w:sz w:val="28"/>
          <w:szCs w:val="28"/>
        </w:rPr>
      </w:pPr>
    </w:p>
    <w:p w:rsidR="00EF5337" w:rsidRPr="00685CCC" w:rsidRDefault="00EF5337" w:rsidP="00EF5337">
      <w:pPr>
        <w:pStyle w:val="ab"/>
        <w:jc w:val="center"/>
        <w:rPr>
          <w:b/>
          <w:sz w:val="28"/>
          <w:szCs w:val="28"/>
        </w:rPr>
      </w:pPr>
      <w:r w:rsidRPr="00685CCC">
        <w:rPr>
          <w:b/>
          <w:sz w:val="28"/>
          <w:szCs w:val="28"/>
        </w:rPr>
        <w:t>1.</w:t>
      </w:r>
      <w:r w:rsidRPr="00685CCC">
        <w:rPr>
          <w:b/>
          <w:sz w:val="28"/>
          <w:szCs w:val="28"/>
        </w:rPr>
        <w:tab/>
        <w:t>Общие положения</w:t>
      </w:r>
    </w:p>
    <w:p w:rsidR="00EF5337" w:rsidRPr="00685CCC" w:rsidRDefault="00EF5337" w:rsidP="00EF5337">
      <w:pPr>
        <w:pStyle w:val="ab"/>
        <w:rPr>
          <w:sz w:val="28"/>
          <w:szCs w:val="28"/>
        </w:rPr>
      </w:pPr>
    </w:p>
    <w:p w:rsidR="00EF5337" w:rsidRPr="00685CCC" w:rsidRDefault="00F32C55" w:rsidP="00F32C55">
      <w:pPr>
        <w:pStyle w:val="ab"/>
        <w:ind w:firstLine="709"/>
        <w:jc w:val="both"/>
        <w:rPr>
          <w:sz w:val="28"/>
          <w:szCs w:val="28"/>
        </w:rPr>
      </w:pPr>
      <w:r>
        <w:rPr>
          <w:sz w:val="28"/>
          <w:szCs w:val="28"/>
        </w:rPr>
        <w:t>П</w:t>
      </w:r>
      <w:r w:rsidR="00EF5337" w:rsidRPr="00685CCC">
        <w:rPr>
          <w:sz w:val="28"/>
          <w:szCs w:val="28"/>
        </w:rPr>
        <w:t>орядок урегулирования кредиторской (дебиторской) задолженности муниципальных учреждений и главных распорядителей средств бюджета муниципального района «Чернышевский район</w:t>
      </w:r>
      <w:r>
        <w:rPr>
          <w:sz w:val="28"/>
          <w:szCs w:val="28"/>
        </w:rPr>
        <w:t xml:space="preserve"> (далее - Порядок) разработан в </w:t>
      </w:r>
      <w:r w:rsidR="00EF5337" w:rsidRPr="00685CCC">
        <w:rPr>
          <w:sz w:val="28"/>
          <w:szCs w:val="28"/>
        </w:rPr>
        <w:t>целях:</w:t>
      </w:r>
    </w:p>
    <w:p w:rsidR="00EF5337" w:rsidRPr="00685CCC" w:rsidRDefault="00EF5337" w:rsidP="00F32C55">
      <w:pPr>
        <w:pStyle w:val="ab"/>
        <w:ind w:firstLine="709"/>
        <w:jc w:val="both"/>
        <w:rPr>
          <w:sz w:val="28"/>
          <w:szCs w:val="28"/>
        </w:rPr>
      </w:pPr>
      <w:r w:rsidRPr="00685CCC">
        <w:rPr>
          <w:sz w:val="28"/>
          <w:szCs w:val="28"/>
        </w:rPr>
        <w:t xml:space="preserve">- обеспечения текущего </w:t>
      </w:r>
      <w:proofErr w:type="gramStart"/>
      <w:r w:rsidRPr="00685CCC">
        <w:rPr>
          <w:sz w:val="28"/>
          <w:szCs w:val="28"/>
        </w:rPr>
        <w:t>контроля за</w:t>
      </w:r>
      <w:proofErr w:type="gramEnd"/>
      <w:r w:rsidRPr="00685CCC">
        <w:rPr>
          <w:sz w:val="28"/>
          <w:szCs w:val="28"/>
        </w:rPr>
        <w:t xml:space="preserve"> состоянием показателей кредиторской (дебиторской)</w:t>
      </w:r>
      <w:r w:rsidRPr="00685CCC">
        <w:rPr>
          <w:sz w:val="28"/>
          <w:szCs w:val="28"/>
        </w:rPr>
        <w:tab/>
        <w:t>задолженности;</w:t>
      </w:r>
    </w:p>
    <w:p w:rsidR="00EF5337" w:rsidRPr="00685CCC" w:rsidRDefault="00EF5337" w:rsidP="00F32C55">
      <w:pPr>
        <w:pStyle w:val="ab"/>
        <w:ind w:firstLine="709"/>
        <w:jc w:val="both"/>
        <w:rPr>
          <w:sz w:val="28"/>
          <w:szCs w:val="28"/>
        </w:rPr>
      </w:pPr>
      <w:r w:rsidRPr="00685CCC">
        <w:rPr>
          <w:sz w:val="28"/>
          <w:szCs w:val="28"/>
        </w:rPr>
        <w:t>- своевременного принятия мер, направленных на недопущение увеличения кредиторской</w:t>
      </w:r>
      <w:r w:rsidR="00F32C55">
        <w:rPr>
          <w:sz w:val="28"/>
          <w:szCs w:val="28"/>
        </w:rPr>
        <w:t xml:space="preserve"> </w:t>
      </w:r>
      <w:r w:rsidRPr="00685CCC">
        <w:rPr>
          <w:sz w:val="28"/>
          <w:szCs w:val="28"/>
        </w:rPr>
        <w:t>(дебиторской)</w:t>
      </w:r>
      <w:r w:rsidRPr="00685CCC">
        <w:rPr>
          <w:sz w:val="28"/>
          <w:szCs w:val="28"/>
        </w:rPr>
        <w:tab/>
      </w:r>
      <w:r w:rsidR="00F32C55">
        <w:rPr>
          <w:sz w:val="28"/>
          <w:szCs w:val="28"/>
        </w:rPr>
        <w:t xml:space="preserve"> </w:t>
      </w:r>
      <w:r w:rsidRPr="00685CCC">
        <w:rPr>
          <w:sz w:val="28"/>
          <w:szCs w:val="28"/>
        </w:rPr>
        <w:t>задолженности;</w:t>
      </w:r>
    </w:p>
    <w:p w:rsidR="00EF5337" w:rsidRPr="00685CCC" w:rsidRDefault="00EF5337" w:rsidP="00F32C55">
      <w:pPr>
        <w:pStyle w:val="ab"/>
        <w:ind w:firstLine="709"/>
        <w:jc w:val="both"/>
        <w:rPr>
          <w:sz w:val="28"/>
          <w:szCs w:val="28"/>
        </w:rPr>
      </w:pPr>
      <w:r w:rsidRPr="00685CCC">
        <w:rPr>
          <w:sz w:val="28"/>
          <w:szCs w:val="28"/>
        </w:rPr>
        <w:t>- исключения необоснованного роста кредиторской задолженности и возникновения</w:t>
      </w:r>
      <w:r w:rsidR="00F32C55">
        <w:rPr>
          <w:sz w:val="28"/>
          <w:szCs w:val="28"/>
        </w:rPr>
        <w:t xml:space="preserve"> </w:t>
      </w:r>
      <w:r w:rsidRPr="00685CCC">
        <w:rPr>
          <w:sz w:val="28"/>
          <w:szCs w:val="28"/>
        </w:rPr>
        <w:t>просроченной</w:t>
      </w:r>
      <w:r w:rsidR="00F32C55">
        <w:rPr>
          <w:sz w:val="28"/>
          <w:szCs w:val="28"/>
        </w:rPr>
        <w:t xml:space="preserve"> </w:t>
      </w:r>
      <w:r w:rsidRPr="00685CCC">
        <w:rPr>
          <w:sz w:val="28"/>
          <w:szCs w:val="28"/>
        </w:rPr>
        <w:t>задолженности;</w:t>
      </w:r>
    </w:p>
    <w:p w:rsidR="00EF5337" w:rsidRPr="00685CCC" w:rsidRDefault="00EF5337" w:rsidP="00F32C55">
      <w:pPr>
        <w:pStyle w:val="ab"/>
        <w:ind w:firstLine="709"/>
        <w:jc w:val="both"/>
        <w:rPr>
          <w:sz w:val="28"/>
          <w:szCs w:val="28"/>
        </w:rPr>
      </w:pPr>
      <w:r w:rsidRPr="00685CCC">
        <w:rPr>
          <w:sz w:val="28"/>
          <w:szCs w:val="28"/>
        </w:rPr>
        <w:t>- выработки оперативных решений по обеспечению своевременности и полноты оплаты кредиторской задолженности для управления показателями</w:t>
      </w:r>
      <w:r w:rsidR="00F32C55">
        <w:rPr>
          <w:sz w:val="28"/>
          <w:szCs w:val="28"/>
        </w:rPr>
        <w:t xml:space="preserve"> кредиторской з</w:t>
      </w:r>
      <w:r w:rsidRPr="00685CCC">
        <w:rPr>
          <w:sz w:val="28"/>
          <w:szCs w:val="28"/>
        </w:rPr>
        <w:t>адолженности</w:t>
      </w:r>
      <w:r w:rsidRPr="00685CCC">
        <w:rPr>
          <w:sz w:val="28"/>
          <w:szCs w:val="28"/>
        </w:rPr>
        <w:tab/>
      </w:r>
      <w:r w:rsidR="00F32C55">
        <w:rPr>
          <w:sz w:val="28"/>
          <w:szCs w:val="28"/>
        </w:rPr>
        <w:t xml:space="preserve"> </w:t>
      </w:r>
      <w:r w:rsidRPr="00685CCC">
        <w:rPr>
          <w:sz w:val="28"/>
          <w:szCs w:val="28"/>
        </w:rPr>
        <w:t>в</w:t>
      </w:r>
      <w:r w:rsidR="00F32C55">
        <w:rPr>
          <w:sz w:val="28"/>
          <w:szCs w:val="28"/>
        </w:rPr>
        <w:t xml:space="preserve"> </w:t>
      </w:r>
      <w:r w:rsidRPr="00685CCC">
        <w:rPr>
          <w:sz w:val="28"/>
          <w:szCs w:val="28"/>
        </w:rPr>
        <w:t>оперативном</w:t>
      </w:r>
      <w:r w:rsidR="00F32C55">
        <w:rPr>
          <w:sz w:val="28"/>
          <w:szCs w:val="28"/>
        </w:rPr>
        <w:t xml:space="preserve"> </w:t>
      </w:r>
      <w:r w:rsidRPr="00685CCC">
        <w:rPr>
          <w:sz w:val="28"/>
          <w:szCs w:val="28"/>
        </w:rPr>
        <w:t>режиме;</w:t>
      </w:r>
    </w:p>
    <w:p w:rsidR="00EF5337" w:rsidRPr="00685CCC" w:rsidRDefault="00EF5337" w:rsidP="00F32C55">
      <w:pPr>
        <w:pStyle w:val="ab"/>
        <w:ind w:firstLine="709"/>
        <w:jc w:val="both"/>
        <w:rPr>
          <w:sz w:val="28"/>
          <w:szCs w:val="28"/>
        </w:rPr>
      </w:pPr>
      <w:r w:rsidRPr="00685CCC">
        <w:rPr>
          <w:sz w:val="28"/>
          <w:szCs w:val="28"/>
        </w:rPr>
        <w:t>- мониторинга мер по реструктуризации просроченной задолженности;</w:t>
      </w:r>
    </w:p>
    <w:p w:rsidR="00EF5337" w:rsidRPr="00685CCC" w:rsidRDefault="00EF5337" w:rsidP="00F32C55">
      <w:pPr>
        <w:pStyle w:val="ab"/>
        <w:ind w:firstLine="709"/>
        <w:jc w:val="both"/>
        <w:rPr>
          <w:sz w:val="28"/>
          <w:szCs w:val="28"/>
        </w:rPr>
      </w:pPr>
      <w:r w:rsidRPr="00685CCC">
        <w:rPr>
          <w:sz w:val="28"/>
          <w:szCs w:val="28"/>
        </w:rPr>
        <w:t>- прогнозирования расходной части бюджета муниципального района «Чернышевский район" на текущий финансовый год и плановый период.</w:t>
      </w:r>
    </w:p>
    <w:p w:rsidR="00EF5337" w:rsidRDefault="00EF5337" w:rsidP="00EF5337">
      <w:pPr>
        <w:pStyle w:val="ab"/>
        <w:jc w:val="both"/>
        <w:rPr>
          <w:sz w:val="28"/>
          <w:szCs w:val="28"/>
        </w:rPr>
      </w:pPr>
    </w:p>
    <w:p w:rsidR="00EF5337" w:rsidRDefault="00EF5337" w:rsidP="00EF5337">
      <w:pPr>
        <w:pStyle w:val="ab"/>
        <w:jc w:val="both"/>
        <w:rPr>
          <w:b/>
          <w:sz w:val="28"/>
          <w:szCs w:val="28"/>
        </w:rPr>
      </w:pPr>
      <w:r w:rsidRPr="00685CCC">
        <w:rPr>
          <w:b/>
          <w:sz w:val="28"/>
          <w:szCs w:val="28"/>
        </w:rPr>
        <w:t>2. Мероприятия по сокращению, ликвидации и реструктуризации просроченной кредиторской задолженности</w:t>
      </w:r>
    </w:p>
    <w:p w:rsidR="00F32C55" w:rsidRPr="00685CCC" w:rsidRDefault="00F32C55" w:rsidP="00EF5337">
      <w:pPr>
        <w:pStyle w:val="ab"/>
        <w:jc w:val="both"/>
        <w:rPr>
          <w:b/>
          <w:sz w:val="28"/>
          <w:szCs w:val="28"/>
        </w:rPr>
      </w:pPr>
    </w:p>
    <w:p w:rsidR="00EF5337" w:rsidRPr="00685CCC" w:rsidRDefault="00EF5337" w:rsidP="00F32C55">
      <w:pPr>
        <w:pStyle w:val="ab"/>
        <w:ind w:firstLine="709"/>
        <w:jc w:val="both"/>
        <w:rPr>
          <w:sz w:val="28"/>
          <w:szCs w:val="28"/>
        </w:rPr>
      </w:pPr>
      <w:r w:rsidRPr="00685CCC">
        <w:rPr>
          <w:sz w:val="28"/>
          <w:szCs w:val="28"/>
        </w:rPr>
        <w:t>2.1. Главные распорядители, получатели бюджетных средств, бюджетные  учреждения при наличии просроченной кредиторской задолженности проводят работу с кредиторами по ее урегулированию пу</w:t>
      </w:r>
      <w:r w:rsidR="00F32C55">
        <w:rPr>
          <w:sz w:val="28"/>
          <w:szCs w:val="28"/>
        </w:rPr>
        <w:t xml:space="preserve">тем погашения, реструктуризации </w:t>
      </w:r>
      <w:r w:rsidRPr="00685CCC">
        <w:rPr>
          <w:sz w:val="28"/>
          <w:szCs w:val="28"/>
        </w:rPr>
        <w:t>или</w:t>
      </w:r>
      <w:r w:rsidRPr="00685CCC">
        <w:rPr>
          <w:sz w:val="28"/>
          <w:szCs w:val="28"/>
        </w:rPr>
        <w:tab/>
        <w:t>списания</w:t>
      </w:r>
      <w:r w:rsidR="00F32C55">
        <w:rPr>
          <w:sz w:val="28"/>
          <w:szCs w:val="28"/>
        </w:rPr>
        <w:t xml:space="preserve"> </w:t>
      </w:r>
      <w:r w:rsidRPr="00685CCC">
        <w:rPr>
          <w:sz w:val="28"/>
          <w:szCs w:val="28"/>
        </w:rPr>
        <w:t>кредиторами.</w:t>
      </w:r>
    </w:p>
    <w:p w:rsidR="00EF5337" w:rsidRPr="00685CCC" w:rsidRDefault="00EF5337" w:rsidP="00F32C55">
      <w:pPr>
        <w:pStyle w:val="ab"/>
        <w:ind w:firstLine="709"/>
        <w:jc w:val="both"/>
        <w:rPr>
          <w:sz w:val="28"/>
          <w:szCs w:val="28"/>
        </w:rPr>
      </w:pPr>
      <w:r w:rsidRPr="00685CCC">
        <w:rPr>
          <w:sz w:val="28"/>
          <w:szCs w:val="28"/>
        </w:rPr>
        <w:t>2.2. Главные распорядители, получатели бюджетных средств осуществляют урегулирование просроченной кредиторской задолженности в рамках выделенных лимитов бюджетных обязательств, предусмотренных на текущий финансовый</w:t>
      </w:r>
      <w:r w:rsidR="00F32C55">
        <w:rPr>
          <w:sz w:val="28"/>
          <w:szCs w:val="28"/>
        </w:rPr>
        <w:t xml:space="preserve"> </w:t>
      </w:r>
      <w:r w:rsidRPr="00685CCC">
        <w:rPr>
          <w:sz w:val="28"/>
          <w:szCs w:val="28"/>
        </w:rPr>
        <w:t>год.</w:t>
      </w:r>
    </w:p>
    <w:p w:rsidR="00EF5337" w:rsidRPr="00685CCC" w:rsidRDefault="00EF5337" w:rsidP="00F32C55">
      <w:pPr>
        <w:pStyle w:val="ab"/>
        <w:ind w:firstLine="709"/>
        <w:jc w:val="both"/>
        <w:rPr>
          <w:sz w:val="28"/>
          <w:szCs w:val="28"/>
        </w:rPr>
      </w:pPr>
      <w:r w:rsidRPr="00685CCC">
        <w:rPr>
          <w:sz w:val="28"/>
          <w:szCs w:val="28"/>
        </w:rPr>
        <w:t>2.3. Бюджетные учреждения осуществляют урегулирование просроченной кредиторской задолженности в рамках средств, предусмотренных планом финансово-хозяйственной</w:t>
      </w:r>
      <w:r w:rsidR="00F32C55">
        <w:rPr>
          <w:sz w:val="28"/>
          <w:szCs w:val="28"/>
        </w:rPr>
        <w:t xml:space="preserve"> </w:t>
      </w:r>
      <w:r w:rsidRPr="00685CCC">
        <w:rPr>
          <w:sz w:val="28"/>
          <w:szCs w:val="28"/>
        </w:rPr>
        <w:t>деятельности.</w:t>
      </w:r>
    </w:p>
    <w:p w:rsidR="00EF5337" w:rsidRDefault="00EF5337" w:rsidP="00F32C55">
      <w:pPr>
        <w:pStyle w:val="ab"/>
        <w:ind w:firstLine="709"/>
        <w:jc w:val="both"/>
        <w:rPr>
          <w:sz w:val="28"/>
          <w:szCs w:val="28"/>
        </w:rPr>
      </w:pPr>
      <w:r w:rsidRPr="00685CCC">
        <w:rPr>
          <w:sz w:val="28"/>
          <w:szCs w:val="28"/>
        </w:rPr>
        <w:t>2.4. Погашение кредиторской задолженности по муниципальным контрактам в отношении капитальных вложений о</w:t>
      </w:r>
      <w:r>
        <w:rPr>
          <w:sz w:val="28"/>
          <w:szCs w:val="28"/>
        </w:rPr>
        <w:t>существляется в пределах лимитов</w:t>
      </w:r>
      <w:r w:rsidRPr="00685CCC">
        <w:rPr>
          <w:sz w:val="28"/>
          <w:szCs w:val="28"/>
        </w:rPr>
        <w:t>, утвержденных получателю бюджетных сре</w:t>
      </w:r>
      <w:proofErr w:type="gramStart"/>
      <w:r w:rsidRPr="00685CCC">
        <w:rPr>
          <w:sz w:val="28"/>
          <w:szCs w:val="28"/>
        </w:rPr>
        <w:t>дств в б</w:t>
      </w:r>
      <w:proofErr w:type="gramEnd"/>
      <w:r w:rsidRPr="00685CCC">
        <w:rPr>
          <w:sz w:val="28"/>
          <w:szCs w:val="28"/>
        </w:rPr>
        <w:t>юджете муниципального района</w:t>
      </w:r>
      <w:r w:rsidR="00F32C55">
        <w:rPr>
          <w:sz w:val="28"/>
          <w:szCs w:val="28"/>
        </w:rPr>
        <w:t xml:space="preserve"> «</w:t>
      </w:r>
      <w:r w:rsidRPr="00685CCC">
        <w:rPr>
          <w:sz w:val="28"/>
          <w:szCs w:val="28"/>
        </w:rPr>
        <w:t>Чернышевский</w:t>
      </w:r>
      <w:r w:rsidR="00F32C55">
        <w:rPr>
          <w:sz w:val="28"/>
          <w:szCs w:val="28"/>
        </w:rPr>
        <w:t xml:space="preserve"> </w:t>
      </w:r>
      <w:r w:rsidRPr="00685CCC">
        <w:rPr>
          <w:sz w:val="28"/>
          <w:szCs w:val="28"/>
        </w:rPr>
        <w:t>район».</w:t>
      </w:r>
    </w:p>
    <w:p w:rsidR="00F32C55" w:rsidRDefault="00F32C55" w:rsidP="00F32C55">
      <w:pPr>
        <w:pStyle w:val="ab"/>
        <w:ind w:firstLine="709"/>
        <w:jc w:val="both"/>
        <w:rPr>
          <w:sz w:val="28"/>
          <w:szCs w:val="28"/>
        </w:rPr>
      </w:pPr>
    </w:p>
    <w:p w:rsidR="00EF5337" w:rsidRPr="00685CCC" w:rsidRDefault="00EF5337" w:rsidP="00F32C55">
      <w:pPr>
        <w:pStyle w:val="ab"/>
        <w:ind w:firstLine="709"/>
        <w:jc w:val="both"/>
        <w:rPr>
          <w:sz w:val="28"/>
          <w:szCs w:val="28"/>
        </w:rPr>
      </w:pPr>
      <w:r w:rsidRPr="00685CCC">
        <w:rPr>
          <w:sz w:val="28"/>
          <w:szCs w:val="28"/>
        </w:rPr>
        <w:lastRenderedPageBreak/>
        <w:t>2.5. В случае недостаточности сре</w:t>
      </w:r>
      <w:proofErr w:type="gramStart"/>
      <w:r w:rsidRPr="00685CCC">
        <w:rPr>
          <w:sz w:val="28"/>
          <w:szCs w:val="28"/>
        </w:rPr>
        <w:t>дств дл</w:t>
      </w:r>
      <w:proofErr w:type="gramEnd"/>
      <w:r w:rsidRPr="00685CCC">
        <w:rPr>
          <w:sz w:val="28"/>
          <w:szCs w:val="28"/>
        </w:rPr>
        <w:t>я погашения просроченной кредиторской задолженности в рамках текущего финансового года получатели бюджетных средств, бюджетные учреждения принимают меры к заключению с кредитором соглашения о реструктуризации просроченной кредиторской задолженности</w:t>
      </w:r>
      <w:r w:rsidR="00F32C55">
        <w:rPr>
          <w:sz w:val="28"/>
          <w:szCs w:val="28"/>
        </w:rPr>
        <w:t xml:space="preserve"> </w:t>
      </w:r>
      <w:r w:rsidRPr="00685CCC">
        <w:rPr>
          <w:sz w:val="28"/>
          <w:szCs w:val="28"/>
        </w:rPr>
        <w:t>с</w:t>
      </w:r>
      <w:r w:rsidR="00F32C55">
        <w:rPr>
          <w:sz w:val="28"/>
          <w:szCs w:val="28"/>
        </w:rPr>
        <w:t xml:space="preserve"> </w:t>
      </w:r>
      <w:r w:rsidRPr="00685CCC">
        <w:rPr>
          <w:sz w:val="28"/>
          <w:szCs w:val="28"/>
        </w:rPr>
        <w:t>составлением графика ее погашения.</w:t>
      </w:r>
    </w:p>
    <w:p w:rsidR="00EF5337" w:rsidRPr="00685CCC" w:rsidRDefault="00EF5337" w:rsidP="00F32C55">
      <w:pPr>
        <w:pStyle w:val="ab"/>
        <w:ind w:firstLine="709"/>
        <w:jc w:val="both"/>
        <w:rPr>
          <w:sz w:val="28"/>
          <w:szCs w:val="28"/>
        </w:rPr>
      </w:pPr>
      <w:r w:rsidRPr="00685CCC">
        <w:rPr>
          <w:sz w:val="28"/>
          <w:szCs w:val="28"/>
        </w:rPr>
        <w:t>2.6. В случае если кредитор отказался от реструктуризации просроченной кредиторской задолженности, получатели бюджетных средств, бюджетные и автономные учреждения запрашивают письменное уведомление об его отказе от</w:t>
      </w:r>
      <w:r w:rsidRPr="00685CCC">
        <w:rPr>
          <w:sz w:val="28"/>
          <w:szCs w:val="28"/>
        </w:rPr>
        <w:tab/>
        <w:t>реструктуризации.</w:t>
      </w:r>
    </w:p>
    <w:p w:rsidR="00EF5337" w:rsidRPr="00685CCC" w:rsidRDefault="00EF5337" w:rsidP="00F32C55">
      <w:pPr>
        <w:pStyle w:val="ab"/>
        <w:ind w:firstLine="709"/>
        <w:jc w:val="both"/>
        <w:rPr>
          <w:sz w:val="28"/>
          <w:szCs w:val="28"/>
        </w:rPr>
      </w:pPr>
      <w:r w:rsidRPr="00685CCC">
        <w:rPr>
          <w:sz w:val="28"/>
          <w:szCs w:val="28"/>
        </w:rPr>
        <w:t xml:space="preserve">2.7. </w:t>
      </w:r>
      <w:proofErr w:type="gramStart"/>
      <w:r w:rsidRPr="00685CCC">
        <w:rPr>
          <w:sz w:val="28"/>
          <w:szCs w:val="28"/>
        </w:rPr>
        <w:t>Органы администрации муниципального района «Чернышевский район», наделенные полномочиями учредителя</w:t>
      </w:r>
      <w:r>
        <w:rPr>
          <w:sz w:val="28"/>
          <w:szCs w:val="28"/>
        </w:rPr>
        <w:t xml:space="preserve"> в отношении соответствующих муниципальных учреждений</w:t>
      </w:r>
      <w:r w:rsidRPr="00685CCC">
        <w:rPr>
          <w:sz w:val="28"/>
          <w:szCs w:val="28"/>
        </w:rPr>
        <w:t>, обеспечивают урегулирование просроченной кредиторской задолженности за счет лимитов бюджетных обязательств, выделенных главному распорядителю бюджетных средств на текущий финансовый год (в отношении просроченной кредиторской задолженности получателей бюджетных средств), а также средств, предусмотренных планом финансово-хозяйственной деятельности бюджетных учреждений, по соответствующим видам финансового обеспечения (в отношении просроченной кредиторской задолженности</w:t>
      </w:r>
      <w:proofErr w:type="gramEnd"/>
      <w:r w:rsidRPr="00685CCC">
        <w:rPr>
          <w:sz w:val="28"/>
          <w:szCs w:val="28"/>
        </w:rPr>
        <w:t xml:space="preserve"> бюджетных учреждений).</w:t>
      </w:r>
    </w:p>
    <w:p w:rsidR="00EF5337" w:rsidRPr="00685CCC" w:rsidRDefault="00EF5337" w:rsidP="00F32C55">
      <w:pPr>
        <w:pStyle w:val="ab"/>
        <w:ind w:firstLine="709"/>
        <w:jc w:val="both"/>
        <w:rPr>
          <w:sz w:val="28"/>
          <w:szCs w:val="28"/>
        </w:rPr>
      </w:pPr>
      <w:r w:rsidRPr="00685CCC">
        <w:rPr>
          <w:sz w:val="28"/>
          <w:szCs w:val="28"/>
        </w:rPr>
        <w:t xml:space="preserve">2.8. </w:t>
      </w:r>
      <w:proofErr w:type="gramStart"/>
      <w:r w:rsidRPr="00685CCC">
        <w:rPr>
          <w:sz w:val="28"/>
          <w:szCs w:val="28"/>
        </w:rPr>
        <w:t>В случае невозможности урегулирования просроченной кредиторской задолженности за счет лимитов бюджетных обязательств, выделенных главному распорядителю бюджетных средств муниципального района «Чернышевский район» на текущий финансовый год и плановый период, а также средств, предусмотренных планом финансово-хозяйственной деятельности бюджетных учреждений по соответствующим видам финансового обеспечения, органы администрации муниципального района «Чернышевский район»,  наделенные полномочиями учредителя</w:t>
      </w:r>
      <w:r>
        <w:rPr>
          <w:sz w:val="28"/>
          <w:szCs w:val="28"/>
        </w:rPr>
        <w:t xml:space="preserve"> в отношении соответствующих муниципальных учреждений</w:t>
      </w:r>
      <w:r w:rsidRPr="00685CCC">
        <w:rPr>
          <w:sz w:val="28"/>
          <w:szCs w:val="28"/>
        </w:rPr>
        <w:t>, направляют в Комитет по</w:t>
      </w:r>
      <w:proofErr w:type="gramEnd"/>
      <w:r w:rsidRPr="00685CCC">
        <w:rPr>
          <w:sz w:val="28"/>
          <w:szCs w:val="28"/>
        </w:rPr>
        <w:t xml:space="preserve"> финансам администрации муниципального района «Чернышевский район» обоснованные предложения об увеличении объема выделенных бюджетных ассигнований с приложением следующего пакета документов:</w:t>
      </w:r>
    </w:p>
    <w:p w:rsidR="00EF5337" w:rsidRPr="00685CCC" w:rsidRDefault="00EF5337" w:rsidP="00F32C55">
      <w:pPr>
        <w:pStyle w:val="ab"/>
        <w:ind w:firstLine="709"/>
        <w:jc w:val="both"/>
        <w:rPr>
          <w:sz w:val="28"/>
          <w:szCs w:val="28"/>
        </w:rPr>
      </w:pPr>
      <w:r w:rsidRPr="00685CCC">
        <w:rPr>
          <w:sz w:val="28"/>
          <w:szCs w:val="28"/>
        </w:rPr>
        <w:t>а) письма-обращения с указанием основания возникновения задолженности (основание для заключения и условия договора, код бюджетной классификации принятого бюджетного обязательства);</w:t>
      </w:r>
    </w:p>
    <w:p w:rsidR="00EF5337" w:rsidRPr="00685CCC" w:rsidRDefault="00EF5337" w:rsidP="00F32C55">
      <w:pPr>
        <w:pStyle w:val="ab"/>
        <w:ind w:firstLine="709"/>
        <w:jc w:val="both"/>
        <w:rPr>
          <w:sz w:val="28"/>
          <w:szCs w:val="28"/>
        </w:rPr>
      </w:pPr>
      <w:r w:rsidRPr="00685CCC">
        <w:rPr>
          <w:sz w:val="28"/>
          <w:szCs w:val="28"/>
        </w:rPr>
        <w:t>б) акта сверки задолженности с контрагентом на последнюю отчетную дату;</w:t>
      </w:r>
    </w:p>
    <w:p w:rsidR="00EF5337" w:rsidRPr="00685CCC" w:rsidRDefault="00EF5337" w:rsidP="00F32C55">
      <w:pPr>
        <w:pStyle w:val="ab"/>
        <w:ind w:firstLine="709"/>
        <w:jc w:val="both"/>
        <w:rPr>
          <w:sz w:val="28"/>
          <w:szCs w:val="28"/>
        </w:rPr>
      </w:pPr>
      <w:r w:rsidRPr="00685CCC">
        <w:rPr>
          <w:sz w:val="28"/>
          <w:szCs w:val="28"/>
        </w:rPr>
        <w:t xml:space="preserve">в) копии договора между получателем бюджетных средств, бюджетным, автономным учреждением и контрагентом, и </w:t>
      </w:r>
      <w:r>
        <w:rPr>
          <w:sz w:val="28"/>
          <w:szCs w:val="28"/>
        </w:rPr>
        <w:t>первичных документов учета</w:t>
      </w:r>
      <w:r w:rsidRPr="00685CCC">
        <w:rPr>
          <w:sz w:val="28"/>
          <w:szCs w:val="28"/>
        </w:rPr>
        <w:t>, подтверждающего факт образования задолженности;</w:t>
      </w:r>
    </w:p>
    <w:p w:rsidR="00EF5337" w:rsidRPr="00685CCC" w:rsidRDefault="00EF5337" w:rsidP="00F32C55">
      <w:pPr>
        <w:pStyle w:val="ab"/>
        <w:ind w:firstLine="709"/>
        <w:jc w:val="both"/>
        <w:rPr>
          <w:sz w:val="28"/>
          <w:szCs w:val="28"/>
        </w:rPr>
      </w:pPr>
      <w:r w:rsidRPr="00685CCC">
        <w:rPr>
          <w:sz w:val="28"/>
          <w:szCs w:val="28"/>
        </w:rPr>
        <w:t>г) для задолженности по заработной плате и начислениям на оплату труда, а также публичным нормативным обязательствам представляется обоснование возникновения задолженности с указанием объема фактических выплат, объема выделенных бюджетных ассигнований, причин недостатка средств;</w:t>
      </w:r>
    </w:p>
    <w:p w:rsidR="00EF5337" w:rsidRPr="00685CCC" w:rsidRDefault="00EF5337" w:rsidP="00F32C55">
      <w:pPr>
        <w:pStyle w:val="ab"/>
        <w:ind w:firstLine="709"/>
        <w:jc w:val="both"/>
        <w:rPr>
          <w:sz w:val="28"/>
          <w:szCs w:val="28"/>
        </w:rPr>
      </w:pPr>
      <w:proofErr w:type="spellStart"/>
      <w:r w:rsidRPr="00685CCC">
        <w:rPr>
          <w:sz w:val="28"/>
          <w:szCs w:val="28"/>
        </w:rPr>
        <w:t>д</w:t>
      </w:r>
      <w:proofErr w:type="spellEnd"/>
      <w:r w:rsidRPr="00685CCC">
        <w:rPr>
          <w:sz w:val="28"/>
          <w:szCs w:val="28"/>
        </w:rPr>
        <w:t>) копии соглашения о реструктуризации просроченной кредиторской задолженности или уведомления об отказе от реструктуризации;</w:t>
      </w:r>
    </w:p>
    <w:p w:rsidR="00EF5337" w:rsidRPr="00685CCC" w:rsidRDefault="00EF5337" w:rsidP="00F32C55">
      <w:pPr>
        <w:pStyle w:val="ab"/>
        <w:ind w:firstLine="709"/>
        <w:jc w:val="both"/>
        <w:rPr>
          <w:sz w:val="28"/>
          <w:szCs w:val="28"/>
        </w:rPr>
      </w:pPr>
      <w:r>
        <w:rPr>
          <w:sz w:val="28"/>
          <w:szCs w:val="28"/>
        </w:rPr>
        <w:lastRenderedPageBreak/>
        <w:t xml:space="preserve">е) копии решения суда (при </w:t>
      </w:r>
      <w:r w:rsidRPr="00685CCC">
        <w:rPr>
          <w:sz w:val="28"/>
          <w:szCs w:val="28"/>
        </w:rPr>
        <w:t xml:space="preserve"> наличии).</w:t>
      </w:r>
    </w:p>
    <w:p w:rsidR="00EF5337" w:rsidRPr="00685CCC" w:rsidRDefault="00EF5337" w:rsidP="00F32C55">
      <w:pPr>
        <w:pStyle w:val="ab"/>
        <w:ind w:firstLine="709"/>
        <w:jc w:val="both"/>
        <w:rPr>
          <w:sz w:val="28"/>
          <w:szCs w:val="28"/>
        </w:rPr>
      </w:pPr>
      <w:r w:rsidRPr="00685CCC">
        <w:rPr>
          <w:sz w:val="28"/>
          <w:szCs w:val="28"/>
        </w:rPr>
        <w:t xml:space="preserve">2.9. </w:t>
      </w:r>
      <w:proofErr w:type="gramStart"/>
      <w:r w:rsidRPr="00685CCC">
        <w:rPr>
          <w:sz w:val="28"/>
          <w:szCs w:val="28"/>
        </w:rPr>
        <w:t>Комитет по финансам администрации муниципального района «Чернышевский район»  рассматривает и учитывает предложения органов администрации муниципального района «Чернышевский район», наделенных полномочиями учредителя</w:t>
      </w:r>
      <w:r w:rsidRPr="00FE4D28">
        <w:rPr>
          <w:sz w:val="28"/>
          <w:szCs w:val="28"/>
        </w:rPr>
        <w:t xml:space="preserve"> </w:t>
      </w:r>
      <w:r>
        <w:rPr>
          <w:sz w:val="28"/>
          <w:szCs w:val="28"/>
        </w:rPr>
        <w:t>в отношении соответствующих муниципальных учреждений</w:t>
      </w:r>
      <w:r w:rsidRPr="00685CCC">
        <w:rPr>
          <w:sz w:val="28"/>
          <w:szCs w:val="28"/>
        </w:rPr>
        <w:t>,</w:t>
      </w:r>
      <w:r>
        <w:rPr>
          <w:sz w:val="28"/>
          <w:szCs w:val="28"/>
        </w:rPr>
        <w:t xml:space="preserve"> </w:t>
      </w:r>
      <w:r w:rsidRPr="00685CCC">
        <w:rPr>
          <w:sz w:val="28"/>
          <w:szCs w:val="28"/>
        </w:rPr>
        <w:t xml:space="preserve"> по погашению просроченной кредиторской задолженности при формировании предложений по проекту бюджета муниципального района «Чернышевский район» на очередной финансовый год и плановый период, при внесении изменений в бюджет муниципального района «Чернышевский район» на текущий финансовый</w:t>
      </w:r>
      <w:proofErr w:type="gramEnd"/>
      <w:r w:rsidRPr="00685CCC">
        <w:rPr>
          <w:sz w:val="28"/>
          <w:szCs w:val="28"/>
        </w:rPr>
        <w:t xml:space="preserve"> год и плановый период исходя из возможностей доходной базы бюджета.</w:t>
      </w:r>
    </w:p>
    <w:p w:rsidR="00EF5337" w:rsidRDefault="00EF5337" w:rsidP="00EF5337">
      <w:pPr>
        <w:pStyle w:val="ab"/>
        <w:jc w:val="both"/>
        <w:rPr>
          <w:b/>
          <w:sz w:val="28"/>
          <w:szCs w:val="28"/>
        </w:rPr>
      </w:pPr>
    </w:p>
    <w:p w:rsidR="00EF5337" w:rsidRPr="00685CCC" w:rsidRDefault="00EF5337" w:rsidP="00EF5337">
      <w:pPr>
        <w:pStyle w:val="ab"/>
        <w:jc w:val="both"/>
        <w:rPr>
          <w:b/>
          <w:sz w:val="28"/>
          <w:szCs w:val="28"/>
        </w:rPr>
      </w:pPr>
      <w:r w:rsidRPr="00685CCC">
        <w:rPr>
          <w:b/>
          <w:sz w:val="28"/>
          <w:szCs w:val="28"/>
        </w:rPr>
        <w:t>3. Мероприятия по сокращению и ликвидации дебиторской задолженности</w:t>
      </w:r>
    </w:p>
    <w:p w:rsidR="00EF5337" w:rsidRPr="00685CCC" w:rsidRDefault="00EF5337" w:rsidP="00EF5337">
      <w:pPr>
        <w:pStyle w:val="ab"/>
        <w:rPr>
          <w:sz w:val="28"/>
          <w:szCs w:val="28"/>
        </w:rPr>
      </w:pPr>
    </w:p>
    <w:p w:rsidR="00EF5337" w:rsidRPr="00685CCC" w:rsidRDefault="00EF5337" w:rsidP="00EF5337">
      <w:pPr>
        <w:pStyle w:val="ab"/>
        <w:jc w:val="both"/>
        <w:rPr>
          <w:sz w:val="28"/>
          <w:szCs w:val="28"/>
        </w:rPr>
      </w:pPr>
      <w:r w:rsidRPr="00685CCC">
        <w:rPr>
          <w:sz w:val="28"/>
          <w:szCs w:val="28"/>
        </w:rPr>
        <w:t xml:space="preserve">         Главные распорядители, получатели бюджетных средств, бюджетные  учреждения обязаны:</w:t>
      </w:r>
    </w:p>
    <w:p w:rsidR="00EF5337" w:rsidRPr="00685CCC" w:rsidRDefault="00EF5337" w:rsidP="00F32C55">
      <w:pPr>
        <w:pStyle w:val="ab"/>
        <w:ind w:firstLine="709"/>
        <w:jc w:val="both"/>
        <w:rPr>
          <w:sz w:val="28"/>
          <w:szCs w:val="28"/>
        </w:rPr>
      </w:pPr>
      <w:r>
        <w:rPr>
          <w:sz w:val="28"/>
          <w:szCs w:val="28"/>
        </w:rPr>
        <w:t xml:space="preserve">- </w:t>
      </w:r>
      <w:r w:rsidRPr="00685CCC">
        <w:rPr>
          <w:sz w:val="28"/>
          <w:szCs w:val="28"/>
        </w:rPr>
        <w:t>своевременно в установленном законодательством порядке проводить</w:t>
      </w:r>
      <w:r>
        <w:rPr>
          <w:sz w:val="28"/>
          <w:szCs w:val="28"/>
        </w:rPr>
        <w:t xml:space="preserve"> претензионную </w:t>
      </w:r>
      <w:r w:rsidRPr="00685CCC">
        <w:rPr>
          <w:sz w:val="28"/>
          <w:szCs w:val="28"/>
        </w:rPr>
        <w:t>работу с контрагентами по погашению имеющейся дебиторской задолженности, в том числе в судебном порядке;</w:t>
      </w:r>
    </w:p>
    <w:p w:rsidR="00EF5337" w:rsidRPr="00685CCC" w:rsidRDefault="00EF5337" w:rsidP="00F32C55">
      <w:pPr>
        <w:pStyle w:val="ab"/>
        <w:ind w:firstLine="709"/>
        <w:jc w:val="both"/>
        <w:rPr>
          <w:sz w:val="28"/>
          <w:szCs w:val="28"/>
        </w:rPr>
      </w:pPr>
      <w:r>
        <w:rPr>
          <w:sz w:val="28"/>
          <w:szCs w:val="28"/>
        </w:rPr>
        <w:t xml:space="preserve">- </w:t>
      </w:r>
      <w:r w:rsidRPr="00685CCC">
        <w:rPr>
          <w:sz w:val="28"/>
          <w:szCs w:val="28"/>
        </w:rPr>
        <w:t xml:space="preserve">осуществлять строгий </w:t>
      </w:r>
      <w:proofErr w:type="gramStart"/>
      <w:r w:rsidRPr="00685CCC">
        <w:rPr>
          <w:sz w:val="28"/>
          <w:szCs w:val="28"/>
        </w:rPr>
        <w:t>контроль за</w:t>
      </w:r>
      <w:proofErr w:type="gramEnd"/>
      <w:r w:rsidRPr="00685CCC">
        <w:rPr>
          <w:sz w:val="28"/>
          <w:szCs w:val="28"/>
        </w:rPr>
        <w:t xml:space="preserve"> своевременным подтверждением авансовых платежей по поставке товаров, выполнению работ (оказанию услуг) в соответствии с условиями заключенных контрактов (договоров);</w:t>
      </w:r>
    </w:p>
    <w:p w:rsidR="00EF5337" w:rsidRPr="00685CCC" w:rsidRDefault="00EF5337" w:rsidP="00F32C55">
      <w:pPr>
        <w:pStyle w:val="ab"/>
        <w:ind w:firstLine="709"/>
        <w:jc w:val="both"/>
        <w:rPr>
          <w:sz w:val="28"/>
          <w:szCs w:val="28"/>
        </w:rPr>
      </w:pPr>
      <w:r>
        <w:rPr>
          <w:sz w:val="28"/>
          <w:szCs w:val="28"/>
        </w:rPr>
        <w:t xml:space="preserve">- </w:t>
      </w:r>
      <w:r w:rsidRPr="00685CCC">
        <w:rPr>
          <w:sz w:val="28"/>
          <w:szCs w:val="28"/>
        </w:rPr>
        <w:t>обеспечить с</w:t>
      </w:r>
      <w:r>
        <w:rPr>
          <w:sz w:val="28"/>
          <w:szCs w:val="28"/>
        </w:rPr>
        <w:t>писание просроченной, невозможной</w:t>
      </w:r>
      <w:r w:rsidRPr="00685CCC">
        <w:rPr>
          <w:sz w:val="28"/>
          <w:szCs w:val="28"/>
        </w:rPr>
        <w:t xml:space="preserve"> к взысканию дебиторской задолженности в установленном законодательством порядке.</w:t>
      </w:r>
    </w:p>
    <w:p w:rsidR="00EF5337" w:rsidRDefault="00EF5337" w:rsidP="00EF5337">
      <w:pPr>
        <w:pStyle w:val="ab"/>
        <w:jc w:val="both"/>
        <w:rPr>
          <w:b/>
          <w:sz w:val="28"/>
          <w:szCs w:val="28"/>
        </w:rPr>
      </w:pPr>
    </w:p>
    <w:p w:rsidR="00EF5337" w:rsidRPr="00685CCC" w:rsidRDefault="00EF5337" w:rsidP="00EF5337">
      <w:pPr>
        <w:pStyle w:val="ab"/>
        <w:jc w:val="both"/>
        <w:rPr>
          <w:b/>
          <w:sz w:val="28"/>
          <w:szCs w:val="28"/>
        </w:rPr>
      </w:pPr>
      <w:r w:rsidRPr="00685CCC">
        <w:rPr>
          <w:b/>
          <w:sz w:val="28"/>
          <w:szCs w:val="28"/>
        </w:rPr>
        <w:t>4. Ответственность за возникновение просроченной дебиторской и кредиторской задолженности и невыполнение мероприятий по сокращению, ликвидации просроченной дебиторской и кредиторской задолженности</w:t>
      </w:r>
    </w:p>
    <w:p w:rsidR="00EF5337" w:rsidRPr="00685CCC" w:rsidRDefault="00EF5337" w:rsidP="00EF5337">
      <w:pPr>
        <w:pStyle w:val="ab"/>
        <w:jc w:val="both"/>
        <w:rPr>
          <w:sz w:val="28"/>
          <w:szCs w:val="28"/>
        </w:rPr>
      </w:pPr>
    </w:p>
    <w:p w:rsidR="00EF5337" w:rsidRPr="00685CCC" w:rsidRDefault="00EF5337" w:rsidP="00F32C55">
      <w:pPr>
        <w:pStyle w:val="ab"/>
        <w:ind w:firstLine="709"/>
        <w:jc w:val="both"/>
        <w:rPr>
          <w:sz w:val="28"/>
          <w:szCs w:val="28"/>
        </w:rPr>
      </w:pPr>
      <w:r w:rsidRPr="00685CCC">
        <w:rPr>
          <w:sz w:val="28"/>
          <w:szCs w:val="28"/>
        </w:rPr>
        <w:t>Руководители главных распорядителей бюджетных средств, органов, наделенных полномочиями учредителя</w:t>
      </w:r>
      <w:r w:rsidRPr="00F965D2">
        <w:rPr>
          <w:sz w:val="28"/>
          <w:szCs w:val="28"/>
        </w:rPr>
        <w:t xml:space="preserve"> </w:t>
      </w:r>
      <w:r>
        <w:rPr>
          <w:sz w:val="28"/>
          <w:szCs w:val="28"/>
        </w:rPr>
        <w:t>в отношении соответствующих муниципальных учреждений</w:t>
      </w:r>
      <w:r w:rsidRPr="00685CCC">
        <w:rPr>
          <w:sz w:val="28"/>
          <w:szCs w:val="28"/>
        </w:rPr>
        <w:t xml:space="preserve">, получателей бюджетных средств, бюджетных учреждений муниципального района «Чернышевский район»  несут дисциплинарную ответственность за возникновение </w:t>
      </w:r>
      <w:r>
        <w:rPr>
          <w:sz w:val="28"/>
          <w:szCs w:val="28"/>
        </w:rPr>
        <w:t xml:space="preserve">необоснованной </w:t>
      </w:r>
      <w:r w:rsidRPr="00685CCC">
        <w:rPr>
          <w:sz w:val="28"/>
          <w:szCs w:val="28"/>
        </w:rPr>
        <w:t>просроченной дебиторской и кредиторской задолженности и невыполнение плана мероприятий по сокращению, ликвидации просроченной дебиторской и кредиторской задолженности.</w:t>
      </w:r>
    </w:p>
    <w:p w:rsidR="00EF5337" w:rsidRDefault="00F32C55" w:rsidP="00F32C55">
      <w:pPr>
        <w:pStyle w:val="ab"/>
        <w:jc w:val="center"/>
        <w:rPr>
          <w:sz w:val="28"/>
          <w:szCs w:val="28"/>
        </w:rPr>
      </w:pPr>
      <w:r>
        <w:rPr>
          <w:sz w:val="28"/>
          <w:szCs w:val="28"/>
        </w:rPr>
        <w:t>__________________</w:t>
      </w:r>
    </w:p>
    <w:p w:rsidR="00F32C55" w:rsidRDefault="00F32C55" w:rsidP="00F32C55">
      <w:pPr>
        <w:pStyle w:val="ab"/>
        <w:jc w:val="center"/>
        <w:rPr>
          <w:sz w:val="28"/>
          <w:szCs w:val="28"/>
        </w:rPr>
      </w:pPr>
    </w:p>
    <w:p w:rsidR="00F32C55" w:rsidRDefault="00F32C55" w:rsidP="00F32C55">
      <w:pPr>
        <w:pStyle w:val="ab"/>
        <w:jc w:val="center"/>
        <w:rPr>
          <w:sz w:val="28"/>
          <w:szCs w:val="28"/>
        </w:rPr>
      </w:pPr>
    </w:p>
    <w:p w:rsidR="00F32C55" w:rsidRDefault="00F32C55" w:rsidP="00F32C55">
      <w:pPr>
        <w:pStyle w:val="ab"/>
        <w:jc w:val="center"/>
        <w:rPr>
          <w:sz w:val="28"/>
          <w:szCs w:val="28"/>
        </w:rPr>
      </w:pPr>
    </w:p>
    <w:p w:rsidR="00F32C55" w:rsidRPr="00685CCC" w:rsidRDefault="00F32C55" w:rsidP="00F32C55">
      <w:pPr>
        <w:pStyle w:val="ab"/>
        <w:jc w:val="center"/>
        <w:rPr>
          <w:sz w:val="28"/>
          <w:szCs w:val="28"/>
        </w:rPr>
      </w:pPr>
    </w:p>
    <w:p w:rsidR="00EF5337" w:rsidRPr="00685CCC" w:rsidRDefault="00EF5337" w:rsidP="00EF5337">
      <w:pPr>
        <w:pStyle w:val="ab"/>
        <w:jc w:val="both"/>
        <w:rPr>
          <w:sz w:val="28"/>
          <w:szCs w:val="28"/>
        </w:rPr>
      </w:pPr>
    </w:p>
    <w:p w:rsidR="00EF5337" w:rsidRPr="00685CCC" w:rsidRDefault="00EF5337" w:rsidP="00EF5337">
      <w:pPr>
        <w:pStyle w:val="ab"/>
        <w:rPr>
          <w:sz w:val="28"/>
          <w:szCs w:val="28"/>
        </w:rPr>
      </w:pPr>
    </w:p>
    <w:p w:rsidR="00EF5337" w:rsidRDefault="00EF5337" w:rsidP="00EF5337">
      <w:pPr>
        <w:pStyle w:val="ab"/>
        <w:rPr>
          <w:sz w:val="28"/>
          <w:szCs w:val="28"/>
        </w:rPr>
      </w:pPr>
    </w:p>
    <w:p w:rsidR="00EF5337" w:rsidRDefault="00EF5337" w:rsidP="00EF5337">
      <w:pPr>
        <w:pStyle w:val="ab"/>
        <w:rPr>
          <w:sz w:val="28"/>
          <w:szCs w:val="28"/>
        </w:rPr>
      </w:pPr>
    </w:p>
    <w:p w:rsidR="00EF5337" w:rsidRPr="00F32C55" w:rsidRDefault="00EF5337" w:rsidP="00EF5337">
      <w:pPr>
        <w:pStyle w:val="ab"/>
        <w:jc w:val="right"/>
      </w:pPr>
      <w:r w:rsidRPr="00F32C55">
        <w:t>Приложение №</w:t>
      </w:r>
      <w:r w:rsidR="00F32C55" w:rsidRPr="00F32C55">
        <w:t xml:space="preserve"> </w:t>
      </w:r>
      <w:r w:rsidRPr="00F32C55">
        <w:t>2</w:t>
      </w:r>
    </w:p>
    <w:p w:rsidR="00EF5337" w:rsidRPr="00F32C55" w:rsidRDefault="00EF5337" w:rsidP="00EF5337">
      <w:pPr>
        <w:pStyle w:val="ab"/>
        <w:jc w:val="right"/>
      </w:pPr>
      <w:r w:rsidRPr="00F32C55">
        <w:t>к  постановлению администрации</w:t>
      </w:r>
    </w:p>
    <w:p w:rsidR="00F32C55" w:rsidRDefault="00F32C55" w:rsidP="00EF5337">
      <w:pPr>
        <w:pStyle w:val="ab"/>
        <w:jc w:val="right"/>
      </w:pPr>
      <w:r>
        <w:t>муниципального района</w:t>
      </w:r>
    </w:p>
    <w:p w:rsidR="00EF5337" w:rsidRPr="00F32C55" w:rsidRDefault="00EF5337" w:rsidP="00EF5337">
      <w:pPr>
        <w:pStyle w:val="ab"/>
        <w:jc w:val="right"/>
      </w:pPr>
      <w:r w:rsidRPr="00F32C55">
        <w:t xml:space="preserve"> «Чернышевский район»</w:t>
      </w:r>
    </w:p>
    <w:p w:rsidR="00EF5337" w:rsidRPr="00F32C55" w:rsidRDefault="00EF5337" w:rsidP="00EF5337">
      <w:pPr>
        <w:pStyle w:val="ab"/>
        <w:jc w:val="right"/>
      </w:pPr>
      <w:r w:rsidRPr="00F32C55">
        <w:t xml:space="preserve">                                                                             </w:t>
      </w:r>
      <w:r w:rsidR="00F32C55">
        <w:t xml:space="preserve">от 30 марта </w:t>
      </w:r>
      <w:r w:rsidRPr="00F32C55">
        <w:t>2018г</w:t>
      </w:r>
      <w:r w:rsidR="00F32C55">
        <w:t>. № 148</w:t>
      </w:r>
    </w:p>
    <w:p w:rsidR="00EF5337" w:rsidRPr="002E2ECF" w:rsidRDefault="00EF5337" w:rsidP="00EF5337">
      <w:pPr>
        <w:pStyle w:val="ab"/>
        <w:rPr>
          <w:sz w:val="28"/>
          <w:szCs w:val="28"/>
        </w:rPr>
      </w:pPr>
    </w:p>
    <w:p w:rsidR="00EF5337" w:rsidRPr="002E2ECF" w:rsidRDefault="00EF5337" w:rsidP="00EF5337">
      <w:pPr>
        <w:pStyle w:val="ab"/>
        <w:jc w:val="center"/>
        <w:rPr>
          <w:b/>
          <w:sz w:val="28"/>
          <w:szCs w:val="28"/>
        </w:rPr>
      </w:pPr>
      <w:r w:rsidRPr="002E2ECF">
        <w:rPr>
          <w:b/>
          <w:sz w:val="28"/>
          <w:szCs w:val="28"/>
        </w:rPr>
        <w:t>План мероприятий по недопущению возникновения необосн</w:t>
      </w:r>
      <w:r w:rsidRPr="002E2ECF">
        <w:rPr>
          <w:b/>
          <w:sz w:val="28"/>
          <w:szCs w:val="28"/>
        </w:rPr>
        <w:t>о</w:t>
      </w:r>
      <w:r w:rsidRPr="002E2ECF">
        <w:rPr>
          <w:b/>
          <w:sz w:val="28"/>
          <w:szCs w:val="28"/>
        </w:rPr>
        <w:t>ванной кредиторской (дебиторской) задолженности муниципальных учре</w:t>
      </w:r>
      <w:r w:rsidRPr="002E2ECF">
        <w:rPr>
          <w:b/>
          <w:sz w:val="28"/>
          <w:szCs w:val="28"/>
        </w:rPr>
        <w:t>ж</w:t>
      </w:r>
      <w:r w:rsidRPr="002E2ECF">
        <w:rPr>
          <w:b/>
          <w:sz w:val="28"/>
          <w:szCs w:val="28"/>
        </w:rPr>
        <w:t>дений и главных распорядителей средств бюджета муниципального ра</w:t>
      </w:r>
      <w:r w:rsidRPr="002E2ECF">
        <w:rPr>
          <w:b/>
          <w:sz w:val="28"/>
          <w:szCs w:val="28"/>
        </w:rPr>
        <w:t>й</w:t>
      </w:r>
      <w:r w:rsidRPr="002E2ECF">
        <w:rPr>
          <w:b/>
          <w:sz w:val="28"/>
          <w:szCs w:val="28"/>
        </w:rPr>
        <w:t>она «Чернышевский район</w:t>
      </w:r>
    </w:p>
    <w:p w:rsidR="00EF5337" w:rsidRPr="002E2ECF" w:rsidRDefault="00EF5337" w:rsidP="00EF5337">
      <w:pPr>
        <w:pStyle w:val="ab"/>
        <w:jc w:val="center"/>
        <w:rPr>
          <w:sz w:val="28"/>
          <w:szCs w:val="28"/>
        </w:rPr>
      </w:pPr>
    </w:p>
    <w:tbl>
      <w:tblPr>
        <w:tblW w:w="9782"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1"/>
        <w:gridCol w:w="4221"/>
        <w:gridCol w:w="2000"/>
        <w:gridCol w:w="2820"/>
      </w:tblGrid>
      <w:tr w:rsidR="00EF5337" w:rsidRPr="00685CCC" w:rsidTr="00A64303">
        <w:trPr>
          <w:trHeight w:val="15"/>
          <w:tblCellSpacing w:w="15" w:type="dxa"/>
        </w:trPr>
        <w:tc>
          <w:tcPr>
            <w:tcW w:w="696" w:type="dxa"/>
            <w:vAlign w:val="center"/>
            <w:hideMark/>
          </w:tcPr>
          <w:p w:rsidR="00EF5337" w:rsidRPr="00685CCC" w:rsidRDefault="00EF5337" w:rsidP="00A64303">
            <w:pPr>
              <w:pStyle w:val="ab"/>
            </w:pPr>
          </w:p>
        </w:tc>
        <w:tc>
          <w:tcPr>
            <w:tcW w:w="4191" w:type="dxa"/>
            <w:vAlign w:val="center"/>
            <w:hideMark/>
          </w:tcPr>
          <w:p w:rsidR="00EF5337" w:rsidRPr="00685CCC" w:rsidRDefault="00EF5337" w:rsidP="00A64303">
            <w:pPr>
              <w:pStyle w:val="ab"/>
            </w:pPr>
          </w:p>
        </w:tc>
        <w:tc>
          <w:tcPr>
            <w:tcW w:w="1970" w:type="dxa"/>
            <w:vAlign w:val="center"/>
            <w:hideMark/>
          </w:tcPr>
          <w:p w:rsidR="00EF5337" w:rsidRPr="00685CCC" w:rsidRDefault="00EF5337" w:rsidP="00A64303">
            <w:pPr>
              <w:pStyle w:val="ab"/>
            </w:pPr>
          </w:p>
        </w:tc>
        <w:tc>
          <w:tcPr>
            <w:tcW w:w="2775" w:type="dxa"/>
            <w:vAlign w:val="center"/>
            <w:hideMark/>
          </w:tcPr>
          <w:p w:rsidR="00EF5337" w:rsidRPr="00685CCC" w:rsidRDefault="00EF5337" w:rsidP="00A64303">
            <w:pPr>
              <w:pStyle w:val="ab"/>
            </w:pP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jc w:val="center"/>
              <w:rPr>
                <w:b/>
              </w:rPr>
            </w:pPr>
            <w:r w:rsidRPr="00685CCC">
              <w:rPr>
                <w:b/>
              </w:rPr>
              <w:t>N п/п</w:t>
            </w:r>
          </w:p>
        </w:tc>
        <w:tc>
          <w:tcPr>
            <w:tcW w:w="4191" w:type="dxa"/>
            <w:tcMar>
              <w:top w:w="15" w:type="dxa"/>
              <w:left w:w="149" w:type="dxa"/>
              <w:bottom w:w="15" w:type="dxa"/>
              <w:right w:w="149" w:type="dxa"/>
            </w:tcMar>
            <w:hideMark/>
          </w:tcPr>
          <w:p w:rsidR="00EF5337" w:rsidRPr="00685CCC" w:rsidRDefault="00EF5337" w:rsidP="00A64303">
            <w:pPr>
              <w:pStyle w:val="ab"/>
              <w:jc w:val="center"/>
              <w:rPr>
                <w:b/>
              </w:rPr>
            </w:pPr>
            <w:r w:rsidRPr="00685CCC">
              <w:rPr>
                <w:b/>
              </w:rPr>
              <w:t>Наименование меропри</w:t>
            </w:r>
            <w:r w:rsidRPr="00685CCC">
              <w:rPr>
                <w:b/>
              </w:rPr>
              <w:t>я</w:t>
            </w:r>
            <w:r w:rsidRPr="00685CCC">
              <w:rPr>
                <w:b/>
              </w:rPr>
              <w:t>тия</w:t>
            </w:r>
          </w:p>
        </w:tc>
        <w:tc>
          <w:tcPr>
            <w:tcW w:w="1970" w:type="dxa"/>
            <w:tcMar>
              <w:top w:w="15" w:type="dxa"/>
              <w:left w:w="149" w:type="dxa"/>
              <w:bottom w:w="15" w:type="dxa"/>
              <w:right w:w="149" w:type="dxa"/>
            </w:tcMar>
            <w:hideMark/>
          </w:tcPr>
          <w:p w:rsidR="00EF5337" w:rsidRPr="00685CCC" w:rsidRDefault="00EF5337" w:rsidP="00A64303">
            <w:pPr>
              <w:pStyle w:val="ab"/>
              <w:jc w:val="center"/>
              <w:rPr>
                <w:b/>
              </w:rPr>
            </w:pPr>
            <w:r w:rsidRPr="00685CCC">
              <w:rPr>
                <w:b/>
              </w:rPr>
              <w:t>Срок исполн</w:t>
            </w:r>
            <w:r w:rsidRPr="00685CCC">
              <w:rPr>
                <w:b/>
              </w:rPr>
              <w:t>е</w:t>
            </w:r>
            <w:r w:rsidRPr="00685CCC">
              <w:rPr>
                <w:b/>
              </w:rPr>
              <w:t>ния</w:t>
            </w:r>
          </w:p>
        </w:tc>
        <w:tc>
          <w:tcPr>
            <w:tcW w:w="2775" w:type="dxa"/>
            <w:tcMar>
              <w:top w:w="15" w:type="dxa"/>
              <w:left w:w="149" w:type="dxa"/>
              <w:bottom w:w="15" w:type="dxa"/>
              <w:right w:w="149" w:type="dxa"/>
            </w:tcMar>
            <w:hideMark/>
          </w:tcPr>
          <w:p w:rsidR="00EF5337" w:rsidRPr="00685CCC" w:rsidRDefault="00EF5337" w:rsidP="00A64303">
            <w:pPr>
              <w:pStyle w:val="ab"/>
              <w:jc w:val="center"/>
              <w:rPr>
                <w:b/>
              </w:rPr>
            </w:pPr>
            <w:r w:rsidRPr="00685CCC">
              <w:rPr>
                <w:b/>
              </w:rPr>
              <w:t>Исполнитель</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1.</w:t>
            </w:r>
          </w:p>
        </w:tc>
        <w:tc>
          <w:tcPr>
            <w:tcW w:w="4191" w:type="dxa"/>
            <w:tcMar>
              <w:top w:w="15" w:type="dxa"/>
              <w:left w:w="149" w:type="dxa"/>
              <w:bottom w:w="15" w:type="dxa"/>
              <w:right w:w="149" w:type="dxa"/>
            </w:tcMar>
            <w:hideMark/>
          </w:tcPr>
          <w:p w:rsidR="00EF5337" w:rsidRPr="00685CCC" w:rsidRDefault="00EF5337" w:rsidP="00A64303">
            <w:pPr>
              <w:pStyle w:val="ab"/>
            </w:pPr>
            <w:r w:rsidRPr="00685CCC">
              <w:t xml:space="preserve">Обеспечение </w:t>
            </w:r>
            <w:proofErr w:type="gramStart"/>
            <w:r w:rsidRPr="00685CCC">
              <w:t>контроля соответствия показаний приборов учета энергоресурсов</w:t>
            </w:r>
            <w:proofErr w:type="gramEnd"/>
            <w:r w:rsidRPr="00685CCC">
              <w:t xml:space="preserve"> потребленным объемам по данным поставщиков ко</w:t>
            </w:r>
            <w:r w:rsidRPr="00685CCC">
              <w:t>м</w:t>
            </w:r>
            <w:r w:rsidRPr="00685CCC">
              <w:t xml:space="preserve">мунальных услуг </w:t>
            </w:r>
          </w:p>
        </w:tc>
        <w:tc>
          <w:tcPr>
            <w:tcW w:w="1970" w:type="dxa"/>
            <w:tcMar>
              <w:top w:w="15" w:type="dxa"/>
              <w:left w:w="149" w:type="dxa"/>
              <w:bottom w:w="15" w:type="dxa"/>
              <w:right w:w="149" w:type="dxa"/>
            </w:tcMar>
            <w:hideMark/>
          </w:tcPr>
          <w:p w:rsidR="00EF5337" w:rsidRPr="00685CCC" w:rsidRDefault="00EF5337" w:rsidP="00A64303">
            <w:pPr>
              <w:pStyle w:val="ab"/>
              <w:ind w:right="-159"/>
            </w:pPr>
            <w:r w:rsidRPr="00685CCC">
              <w:t xml:space="preserve">ежеквартально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2.</w:t>
            </w:r>
          </w:p>
        </w:tc>
        <w:tc>
          <w:tcPr>
            <w:tcW w:w="4191" w:type="dxa"/>
            <w:tcMar>
              <w:top w:w="15" w:type="dxa"/>
              <w:left w:w="149" w:type="dxa"/>
              <w:bottom w:w="15" w:type="dxa"/>
              <w:right w:w="149" w:type="dxa"/>
            </w:tcMar>
            <w:hideMark/>
          </w:tcPr>
          <w:p w:rsidR="00EF5337" w:rsidRPr="00685CCC" w:rsidRDefault="00EF5337" w:rsidP="00A64303">
            <w:pPr>
              <w:pStyle w:val="ab"/>
            </w:pPr>
            <w:r w:rsidRPr="00685CCC">
              <w:t xml:space="preserve">Обеспечение контроля за заключением договоров на закупку товаров, выполнение работ и оказание услуг в </w:t>
            </w:r>
            <w:proofErr w:type="gramStart"/>
            <w:r w:rsidRPr="00685CCC">
              <w:t>пределах</w:t>
            </w:r>
            <w:proofErr w:type="gramEnd"/>
            <w:r w:rsidRPr="00685CCC">
              <w:t xml:space="preserve"> доведенных в текущем финансовом году лимитов бюджетных обяз</w:t>
            </w:r>
            <w:r w:rsidRPr="00685CCC">
              <w:t>а</w:t>
            </w:r>
            <w:r w:rsidRPr="00685CCC">
              <w:t xml:space="preserve">тельств </w:t>
            </w:r>
          </w:p>
        </w:tc>
        <w:tc>
          <w:tcPr>
            <w:tcW w:w="1970" w:type="dxa"/>
            <w:tcMar>
              <w:top w:w="15" w:type="dxa"/>
              <w:left w:w="149" w:type="dxa"/>
              <w:bottom w:w="15" w:type="dxa"/>
              <w:right w:w="149" w:type="dxa"/>
            </w:tcMar>
            <w:hideMark/>
          </w:tcPr>
          <w:p w:rsidR="00EF5337" w:rsidRPr="00685CCC" w:rsidRDefault="00EF5337" w:rsidP="00A64303">
            <w:pPr>
              <w:pStyle w:val="ab"/>
            </w:pPr>
            <w:r w:rsidRPr="00685CCC">
              <w:t>при заключ</w:t>
            </w:r>
            <w:r w:rsidRPr="00685CCC">
              <w:t>е</w:t>
            </w:r>
            <w:r w:rsidRPr="00685CCC">
              <w:t xml:space="preserve">нии договоров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3.</w:t>
            </w:r>
          </w:p>
        </w:tc>
        <w:tc>
          <w:tcPr>
            <w:tcW w:w="4191" w:type="dxa"/>
            <w:tcMar>
              <w:top w:w="15" w:type="dxa"/>
              <w:left w:w="149" w:type="dxa"/>
              <w:bottom w:w="15" w:type="dxa"/>
              <w:right w:w="149" w:type="dxa"/>
            </w:tcMar>
            <w:hideMark/>
          </w:tcPr>
          <w:p w:rsidR="00EF5337" w:rsidRPr="00685CCC" w:rsidRDefault="00EF5337" w:rsidP="00A64303">
            <w:pPr>
              <w:pStyle w:val="ab"/>
            </w:pPr>
            <w:r w:rsidRPr="00685CCC">
              <w:t xml:space="preserve">Осуществление текущего </w:t>
            </w:r>
            <w:proofErr w:type="gramStart"/>
            <w:r w:rsidRPr="00685CCC">
              <w:t>контроля за</w:t>
            </w:r>
            <w:proofErr w:type="gramEnd"/>
            <w:r w:rsidRPr="00685CCC">
              <w:t xml:space="preserve"> принятием муниципальными учреждениями бюджетных обязательств, подлежащих и</w:t>
            </w:r>
            <w:r w:rsidRPr="00685CCC">
              <w:t>с</w:t>
            </w:r>
            <w:r w:rsidRPr="00685CCC">
              <w:t xml:space="preserve">полнению за счет средств муниципального бюджета на текущий финансовый год </w:t>
            </w:r>
          </w:p>
        </w:tc>
        <w:tc>
          <w:tcPr>
            <w:tcW w:w="1970" w:type="dxa"/>
            <w:tcMar>
              <w:top w:w="15" w:type="dxa"/>
              <w:left w:w="149" w:type="dxa"/>
              <w:bottom w:w="15" w:type="dxa"/>
              <w:right w:w="149" w:type="dxa"/>
            </w:tcMar>
            <w:hideMark/>
          </w:tcPr>
          <w:p w:rsidR="00EF5337" w:rsidRPr="00685CCC" w:rsidRDefault="00EF5337" w:rsidP="00A64303">
            <w:pPr>
              <w:pStyle w:val="ab"/>
            </w:pPr>
            <w:r w:rsidRPr="00685CCC">
              <w:t xml:space="preserve">постоянно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 Комитет по финансам</w:t>
            </w:r>
            <w:r w:rsidRPr="00685CCC">
              <w:br/>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4.</w:t>
            </w:r>
          </w:p>
        </w:tc>
        <w:tc>
          <w:tcPr>
            <w:tcW w:w="4191" w:type="dxa"/>
            <w:tcMar>
              <w:top w:w="15" w:type="dxa"/>
              <w:left w:w="149" w:type="dxa"/>
              <w:bottom w:w="15" w:type="dxa"/>
              <w:right w:w="149" w:type="dxa"/>
            </w:tcMar>
            <w:hideMark/>
          </w:tcPr>
          <w:p w:rsidR="00EF5337" w:rsidRPr="00685CCC" w:rsidRDefault="00EF5337" w:rsidP="00A64303">
            <w:pPr>
              <w:pStyle w:val="ab"/>
            </w:pPr>
            <w:r w:rsidRPr="00685CCC">
              <w:t>Проведение инвентаризации кредиторской (дебиторской), с составлением актов сверки кредиторской (дебиторской) задолженности (с выделением сумм просроченной задолженн</w:t>
            </w:r>
            <w:r w:rsidRPr="00685CCC">
              <w:t>о</w:t>
            </w:r>
            <w:r w:rsidRPr="00685CCC">
              <w:t>сти)</w:t>
            </w:r>
          </w:p>
        </w:tc>
        <w:tc>
          <w:tcPr>
            <w:tcW w:w="1970" w:type="dxa"/>
            <w:tcMar>
              <w:top w:w="15" w:type="dxa"/>
              <w:left w:w="149" w:type="dxa"/>
              <w:bottom w:w="15" w:type="dxa"/>
              <w:right w:w="149" w:type="dxa"/>
            </w:tcMar>
            <w:hideMark/>
          </w:tcPr>
          <w:p w:rsidR="00EF5337" w:rsidRPr="00685CCC" w:rsidRDefault="00EF5337" w:rsidP="00A64303">
            <w:pPr>
              <w:pStyle w:val="ab"/>
            </w:pPr>
            <w:r w:rsidRPr="00685CCC">
              <w:t>ежеквартально до 20 числа месяца, следующего за отче</w:t>
            </w:r>
            <w:r w:rsidRPr="00685CCC">
              <w:t>т</w:t>
            </w:r>
            <w:r w:rsidRPr="00685CCC">
              <w:t xml:space="preserve">ным кварталом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5.</w:t>
            </w:r>
          </w:p>
        </w:tc>
        <w:tc>
          <w:tcPr>
            <w:tcW w:w="4191" w:type="dxa"/>
            <w:tcMar>
              <w:top w:w="15" w:type="dxa"/>
              <w:left w:w="149" w:type="dxa"/>
              <w:bottom w:w="15" w:type="dxa"/>
              <w:right w:w="149" w:type="dxa"/>
            </w:tcMar>
            <w:hideMark/>
          </w:tcPr>
          <w:p w:rsidR="00EF5337" w:rsidRPr="00685CCC" w:rsidRDefault="00EF5337" w:rsidP="00A64303">
            <w:pPr>
              <w:pStyle w:val="ab"/>
            </w:pPr>
            <w:r w:rsidRPr="00685CCC">
              <w:t xml:space="preserve">Обеспечение контроля </w:t>
            </w:r>
            <w:proofErr w:type="gramStart"/>
            <w:r w:rsidRPr="00685CCC">
              <w:t>за своевременным обращением в Фонд социального страхования за возмещением расходов на оплату пособий по временной нетр</w:t>
            </w:r>
            <w:r w:rsidRPr="00685CCC">
              <w:t>у</w:t>
            </w:r>
            <w:r w:rsidRPr="00685CCC">
              <w:t>доспособности</w:t>
            </w:r>
            <w:proofErr w:type="gramEnd"/>
            <w:r w:rsidRPr="00685CCC">
              <w:t xml:space="preserve"> </w:t>
            </w:r>
          </w:p>
        </w:tc>
        <w:tc>
          <w:tcPr>
            <w:tcW w:w="1970" w:type="dxa"/>
            <w:tcMar>
              <w:top w:w="15" w:type="dxa"/>
              <w:left w:w="149" w:type="dxa"/>
              <w:bottom w:w="15" w:type="dxa"/>
              <w:right w:w="149" w:type="dxa"/>
            </w:tcMar>
            <w:hideMark/>
          </w:tcPr>
          <w:p w:rsidR="00EF5337" w:rsidRPr="00685CCC" w:rsidRDefault="00EF5337" w:rsidP="00A64303">
            <w:pPr>
              <w:pStyle w:val="ab"/>
            </w:pPr>
            <w:r w:rsidRPr="00685CCC">
              <w:t xml:space="preserve">постоянно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6.</w:t>
            </w:r>
          </w:p>
        </w:tc>
        <w:tc>
          <w:tcPr>
            <w:tcW w:w="4191" w:type="dxa"/>
            <w:tcMar>
              <w:top w:w="15" w:type="dxa"/>
              <w:left w:w="149" w:type="dxa"/>
              <w:bottom w:w="15" w:type="dxa"/>
              <w:right w:w="149" w:type="dxa"/>
            </w:tcMar>
            <w:hideMark/>
          </w:tcPr>
          <w:p w:rsidR="00EF5337" w:rsidRPr="00685CCC" w:rsidRDefault="00EF5337" w:rsidP="00A64303">
            <w:pPr>
              <w:pStyle w:val="ab"/>
            </w:pPr>
            <w:r w:rsidRPr="00685CCC">
              <w:t>Подготовка предложений по мероприятиям, напра</w:t>
            </w:r>
            <w:r w:rsidRPr="00685CCC">
              <w:t>в</w:t>
            </w:r>
            <w:r w:rsidRPr="00685CCC">
              <w:t xml:space="preserve">ленным на снижение или ликвидацию кредиторской задолженности </w:t>
            </w:r>
          </w:p>
        </w:tc>
        <w:tc>
          <w:tcPr>
            <w:tcW w:w="1970" w:type="dxa"/>
            <w:tcMar>
              <w:top w:w="15" w:type="dxa"/>
              <w:left w:w="149" w:type="dxa"/>
              <w:bottom w:w="15" w:type="dxa"/>
              <w:right w:w="149" w:type="dxa"/>
            </w:tcMar>
            <w:hideMark/>
          </w:tcPr>
          <w:p w:rsidR="00EF5337" w:rsidRPr="00685CCC" w:rsidRDefault="00EF5337" w:rsidP="00A64303">
            <w:pPr>
              <w:pStyle w:val="ab"/>
            </w:pPr>
            <w:r w:rsidRPr="00685CCC">
              <w:t>ежеквартально, в течение 3 р</w:t>
            </w:r>
            <w:r w:rsidRPr="00685CCC">
              <w:t>а</w:t>
            </w:r>
            <w:r w:rsidRPr="00685CCC">
              <w:t xml:space="preserve">бочих дней со дня проведения </w:t>
            </w:r>
            <w:r w:rsidRPr="00685CCC">
              <w:lastRenderedPageBreak/>
              <w:t xml:space="preserve">инвентаризации </w:t>
            </w:r>
          </w:p>
        </w:tc>
        <w:tc>
          <w:tcPr>
            <w:tcW w:w="2775" w:type="dxa"/>
            <w:tcMar>
              <w:top w:w="15" w:type="dxa"/>
              <w:left w:w="149" w:type="dxa"/>
              <w:bottom w:w="15" w:type="dxa"/>
              <w:right w:w="149" w:type="dxa"/>
            </w:tcMar>
            <w:hideMark/>
          </w:tcPr>
          <w:p w:rsidR="00EF5337" w:rsidRPr="00685CCC" w:rsidRDefault="00EF5337" w:rsidP="00A64303">
            <w:pPr>
              <w:pStyle w:val="ab"/>
            </w:pPr>
            <w:r w:rsidRPr="00685CCC">
              <w:lastRenderedPageBreak/>
              <w:t xml:space="preserve">главные распорядители бюджетных средств (органы, осуществляющие полномочия </w:t>
            </w:r>
            <w:r w:rsidRPr="00685CCC">
              <w:lastRenderedPageBreak/>
              <w:t>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lastRenderedPageBreak/>
              <w:t>7.</w:t>
            </w:r>
          </w:p>
        </w:tc>
        <w:tc>
          <w:tcPr>
            <w:tcW w:w="4191" w:type="dxa"/>
            <w:tcMar>
              <w:top w:w="15" w:type="dxa"/>
              <w:left w:w="149" w:type="dxa"/>
              <w:bottom w:w="15" w:type="dxa"/>
              <w:right w:w="149" w:type="dxa"/>
            </w:tcMar>
            <w:hideMark/>
          </w:tcPr>
          <w:p w:rsidR="00EF5337" w:rsidRPr="00685CCC" w:rsidRDefault="00EF5337" w:rsidP="00A64303">
            <w:pPr>
              <w:pStyle w:val="ab"/>
            </w:pPr>
            <w:r w:rsidRPr="00685CCC">
              <w:t>Заключение с кредиторами соглашений о реструктуризации кредиторской задо</w:t>
            </w:r>
            <w:r w:rsidRPr="00685CCC">
              <w:t>л</w:t>
            </w:r>
            <w:r w:rsidRPr="00685CCC">
              <w:t xml:space="preserve">женности </w:t>
            </w:r>
          </w:p>
        </w:tc>
        <w:tc>
          <w:tcPr>
            <w:tcW w:w="1970" w:type="dxa"/>
            <w:tcMar>
              <w:top w:w="15" w:type="dxa"/>
              <w:left w:w="149" w:type="dxa"/>
              <w:bottom w:w="15" w:type="dxa"/>
              <w:right w:w="149" w:type="dxa"/>
            </w:tcMar>
            <w:hideMark/>
          </w:tcPr>
          <w:p w:rsidR="00EF5337" w:rsidRPr="00685CCC" w:rsidRDefault="00EF5337" w:rsidP="00A64303">
            <w:pPr>
              <w:pStyle w:val="ab"/>
            </w:pPr>
            <w:r w:rsidRPr="00685CCC">
              <w:t xml:space="preserve">в течение года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8.</w:t>
            </w:r>
          </w:p>
        </w:tc>
        <w:tc>
          <w:tcPr>
            <w:tcW w:w="4191" w:type="dxa"/>
            <w:tcMar>
              <w:top w:w="15" w:type="dxa"/>
              <w:left w:w="149" w:type="dxa"/>
              <w:bottom w:w="15" w:type="dxa"/>
              <w:right w:w="149" w:type="dxa"/>
            </w:tcMar>
            <w:hideMark/>
          </w:tcPr>
          <w:p w:rsidR="00EF5337" w:rsidRPr="00685CCC" w:rsidRDefault="00EF5337" w:rsidP="00A64303">
            <w:pPr>
              <w:pStyle w:val="ab"/>
            </w:pPr>
            <w:r w:rsidRPr="00685CCC">
              <w:t>Утверждение графиков погашения кредиторской з</w:t>
            </w:r>
            <w:r w:rsidRPr="00685CCC">
              <w:t>а</w:t>
            </w:r>
            <w:r w:rsidRPr="00685CCC">
              <w:t xml:space="preserve">долженности, в том числе просроченной </w:t>
            </w:r>
          </w:p>
        </w:tc>
        <w:tc>
          <w:tcPr>
            <w:tcW w:w="1970" w:type="dxa"/>
            <w:tcMar>
              <w:top w:w="15" w:type="dxa"/>
              <w:left w:w="149" w:type="dxa"/>
              <w:bottom w:w="15" w:type="dxa"/>
              <w:right w:w="149" w:type="dxa"/>
            </w:tcMar>
            <w:hideMark/>
          </w:tcPr>
          <w:p w:rsidR="00EF5337" w:rsidRPr="00685CCC" w:rsidRDefault="00EF5337" w:rsidP="00A64303">
            <w:pPr>
              <w:pStyle w:val="ab"/>
            </w:pPr>
            <w:r w:rsidRPr="00685CCC">
              <w:t xml:space="preserve">в течение года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9.</w:t>
            </w:r>
          </w:p>
        </w:tc>
        <w:tc>
          <w:tcPr>
            <w:tcW w:w="4191" w:type="dxa"/>
            <w:tcMar>
              <w:top w:w="15" w:type="dxa"/>
              <w:left w:w="149" w:type="dxa"/>
              <w:bottom w:w="15" w:type="dxa"/>
              <w:right w:w="149" w:type="dxa"/>
            </w:tcMar>
            <w:hideMark/>
          </w:tcPr>
          <w:p w:rsidR="00EF5337" w:rsidRPr="00685CCC" w:rsidRDefault="00EF5337" w:rsidP="00A64303">
            <w:pPr>
              <w:pStyle w:val="ab"/>
            </w:pPr>
            <w:r w:rsidRPr="00685CCC">
              <w:t>Погашение кредиторской задолженности, в том числе просроченной, ликвидация образовавшейся дебито</w:t>
            </w:r>
            <w:r w:rsidRPr="00685CCC">
              <w:t>р</w:t>
            </w:r>
            <w:r w:rsidRPr="00685CCC">
              <w:t xml:space="preserve">ской задолженности </w:t>
            </w:r>
          </w:p>
        </w:tc>
        <w:tc>
          <w:tcPr>
            <w:tcW w:w="1970" w:type="dxa"/>
            <w:tcMar>
              <w:top w:w="15" w:type="dxa"/>
              <w:left w:w="149" w:type="dxa"/>
              <w:bottom w:w="15" w:type="dxa"/>
              <w:right w:w="149" w:type="dxa"/>
            </w:tcMar>
            <w:hideMark/>
          </w:tcPr>
          <w:p w:rsidR="00EF5337" w:rsidRPr="00685CCC" w:rsidRDefault="00EF5337" w:rsidP="00A64303">
            <w:pPr>
              <w:pStyle w:val="ab"/>
            </w:pPr>
            <w:r w:rsidRPr="00685CCC">
              <w:t>согласно графику погаш</w:t>
            </w:r>
            <w:r w:rsidRPr="00685CCC">
              <w:t>е</w:t>
            </w:r>
            <w:r w:rsidRPr="00685CCC">
              <w:t xml:space="preserve">ния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t>дителя)</w:t>
            </w:r>
            <w:r w:rsidRPr="00685CCC">
              <w:t>, Комитет по финансам</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10.</w:t>
            </w:r>
          </w:p>
        </w:tc>
        <w:tc>
          <w:tcPr>
            <w:tcW w:w="4191" w:type="dxa"/>
            <w:tcMar>
              <w:top w:w="15" w:type="dxa"/>
              <w:left w:w="149" w:type="dxa"/>
              <w:bottom w:w="15" w:type="dxa"/>
              <w:right w:w="149" w:type="dxa"/>
            </w:tcMar>
            <w:hideMark/>
          </w:tcPr>
          <w:p w:rsidR="00EF5337" w:rsidRPr="00685CCC" w:rsidRDefault="00EF5337" w:rsidP="00A64303">
            <w:pPr>
              <w:pStyle w:val="ab"/>
            </w:pPr>
            <w:r>
              <w:t>П</w:t>
            </w:r>
            <w:r w:rsidRPr="00685CCC">
              <w:t>олучателям бюджетных средств, бюджетным муниципальным учреждениям закл</w:t>
            </w:r>
            <w:r w:rsidRPr="00685CCC">
              <w:t>ю</w:t>
            </w:r>
            <w:r w:rsidRPr="00685CCC">
              <w:t xml:space="preserve">чать договоры, исключая условия об осуществлении авансовых платежей </w:t>
            </w:r>
          </w:p>
        </w:tc>
        <w:tc>
          <w:tcPr>
            <w:tcW w:w="1970" w:type="dxa"/>
            <w:tcMar>
              <w:top w:w="15" w:type="dxa"/>
              <w:left w:w="149" w:type="dxa"/>
              <w:bottom w:w="15" w:type="dxa"/>
              <w:right w:w="149" w:type="dxa"/>
            </w:tcMar>
            <w:hideMark/>
          </w:tcPr>
          <w:p w:rsidR="00EF5337" w:rsidRPr="00685CCC" w:rsidRDefault="00EF5337" w:rsidP="00A64303">
            <w:pPr>
              <w:pStyle w:val="ab"/>
            </w:pPr>
            <w:r w:rsidRPr="00685CCC">
              <w:t xml:space="preserve">постоянно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r w:rsidRPr="00685CCC">
              <w:br/>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rsidRPr="00685CCC">
              <w:t>11.</w:t>
            </w:r>
          </w:p>
        </w:tc>
        <w:tc>
          <w:tcPr>
            <w:tcW w:w="4191" w:type="dxa"/>
            <w:tcMar>
              <w:top w:w="15" w:type="dxa"/>
              <w:left w:w="149" w:type="dxa"/>
              <w:bottom w:w="15" w:type="dxa"/>
              <w:right w:w="149" w:type="dxa"/>
            </w:tcMar>
            <w:hideMark/>
          </w:tcPr>
          <w:p w:rsidR="00EF5337" w:rsidRPr="00685CCC" w:rsidRDefault="00EF5337" w:rsidP="00A64303">
            <w:pPr>
              <w:pStyle w:val="ab"/>
            </w:pPr>
            <w:proofErr w:type="gramStart"/>
            <w:r w:rsidRPr="00685CCC">
              <w:t>При поступлении постановлений судебных приставов о взыскании исполнительских сборов должнику своевременно предпринимать меры (при наличии соответствующих оснований) по обращению в суд с заявлением об оспаривании постановления судебного пристава-исполнителя о взыскании исполнительского сбора, с иском об отсрочке или о рассрочке его взыскания, об уменьшении его размера или освобождении от взыскания исполнител</w:t>
            </w:r>
            <w:r w:rsidRPr="00685CCC">
              <w:t>ь</w:t>
            </w:r>
            <w:r w:rsidRPr="00685CCC">
              <w:t xml:space="preserve">ского сбора </w:t>
            </w:r>
            <w:proofErr w:type="gramEnd"/>
          </w:p>
        </w:tc>
        <w:tc>
          <w:tcPr>
            <w:tcW w:w="1970" w:type="dxa"/>
            <w:tcMar>
              <w:top w:w="15" w:type="dxa"/>
              <w:left w:w="149" w:type="dxa"/>
              <w:bottom w:w="15" w:type="dxa"/>
              <w:right w:w="149" w:type="dxa"/>
            </w:tcMar>
            <w:hideMark/>
          </w:tcPr>
          <w:p w:rsidR="00EF5337" w:rsidRPr="00685CCC" w:rsidRDefault="00EF5337" w:rsidP="00A64303">
            <w:pPr>
              <w:pStyle w:val="ab"/>
            </w:pPr>
            <w:r w:rsidRPr="00685CCC">
              <w:t xml:space="preserve">постоянно </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rsidRPr="00685CCC">
              <w:t>дителя)</w:t>
            </w:r>
          </w:p>
        </w:tc>
      </w:tr>
      <w:tr w:rsidR="00EF5337" w:rsidRPr="00685CCC" w:rsidTr="00A64303">
        <w:trPr>
          <w:trHeight w:val="1212"/>
          <w:tblCellSpacing w:w="15" w:type="dxa"/>
        </w:trPr>
        <w:tc>
          <w:tcPr>
            <w:tcW w:w="696" w:type="dxa"/>
            <w:tcMar>
              <w:top w:w="15" w:type="dxa"/>
              <w:left w:w="149" w:type="dxa"/>
              <w:bottom w:w="15" w:type="dxa"/>
              <w:right w:w="149" w:type="dxa"/>
            </w:tcMar>
            <w:hideMark/>
          </w:tcPr>
          <w:p w:rsidR="00EF5337" w:rsidRPr="00685CCC" w:rsidRDefault="00EF5337" w:rsidP="00A64303">
            <w:pPr>
              <w:pStyle w:val="ab"/>
            </w:pPr>
            <w:r>
              <w:t>12.</w:t>
            </w:r>
          </w:p>
        </w:tc>
        <w:tc>
          <w:tcPr>
            <w:tcW w:w="4191" w:type="dxa"/>
            <w:tcMar>
              <w:top w:w="15" w:type="dxa"/>
              <w:left w:w="149" w:type="dxa"/>
              <w:bottom w:w="15" w:type="dxa"/>
              <w:right w:w="149" w:type="dxa"/>
            </w:tcMar>
            <w:hideMark/>
          </w:tcPr>
          <w:p w:rsidR="00EF5337" w:rsidRPr="00685CCC" w:rsidRDefault="00EF5337" w:rsidP="00A64303">
            <w:pPr>
              <w:pStyle w:val="ab"/>
            </w:pPr>
            <w:r>
              <w:t>Контроль за своевременной и достоверной сдачей отчетности в органы статистики и налоговые органы</w:t>
            </w:r>
          </w:p>
        </w:tc>
        <w:tc>
          <w:tcPr>
            <w:tcW w:w="1970" w:type="dxa"/>
            <w:tcMar>
              <w:top w:w="15" w:type="dxa"/>
              <w:left w:w="149" w:type="dxa"/>
              <w:bottom w:w="15" w:type="dxa"/>
              <w:right w:w="149" w:type="dxa"/>
            </w:tcMar>
            <w:hideMark/>
          </w:tcPr>
          <w:p w:rsidR="00EF5337" w:rsidRPr="00685CCC" w:rsidRDefault="00EF5337" w:rsidP="00A64303">
            <w:pPr>
              <w:pStyle w:val="ab"/>
            </w:pPr>
            <w:r>
              <w:t>по графику</w:t>
            </w:r>
          </w:p>
        </w:tc>
        <w:tc>
          <w:tcPr>
            <w:tcW w:w="2775" w:type="dxa"/>
            <w:tcMar>
              <w:top w:w="15" w:type="dxa"/>
              <w:left w:w="149" w:type="dxa"/>
              <w:bottom w:w="15" w:type="dxa"/>
              <w:right w:w="149" w:type="dxa"/>
            </w:tcMar>
            <w:hideMark/>
          </w:tcPr>
          <w:p w:rsidR="00EF5337" w:rsidRPr="00685CCC" w:rsidRDefault="00EF5337" w:rsidP="00A64303">
            <w:pPr>
              <w:pStyle w:val="ab"/>
            </w:pPr>
            <w:r w:rsidRPr="00685CCC">
              <w:t>главные распорядители бюджетных средств (органы, осуществляющие полномочия учр</w:t>
            </w:r>
            <w:r w:rsidRPr="00685CCC">
              <w:t>е</w:t>
            </w:r>
            <w:r>
              <w:t>дителя)</w:t>
            </w:r>
            <w:r w:rsidRPr="00685CCC">
              <w:t>, Комитет по финансам</w:t>
            </w:r>
          </w:p>
        </w:tc>
      </w:tr>
      <w:tr w:rsidR="00EF5337" w:rsidRPr="00685CCC" w:rsidTr="00A64303">
        <w:trPr>
          <w:tblCellSpacing w:w="15" w:type="dxa"/>
        </w:trPr>
        <w:tc>
          <w:tcPr>
            <w:tcW w:w="696" w:type="dxa"/>
            <w:tcMar>
              <w:top w:w="15" w:type="dxa"/>
              <w:left w:w="149" w:type="dxa"/>
              <w:bottom w:w="15" w:type="dxa"/>
              <w:right w:w="149" w:type="dxa"/>
            </w:tcMar>
            <w:hideMark/>
          </w:tcPr>
          <w:p w:rsidR="00EF5337" w:rsidRPr="00685CCC" w:rsidRDefault="00EF5337" w:rsidP="00A64303">
            <w:pPr>
              <w:pStyle w:val="ab"/>
            </w:pPr>
          </w:p>
        </w:tc>
        <w:tc>
          <w:tcPr>
            <w:tcW w:w="4191" w:type="dxa"/>
            <w:tcMar>
              <w:top w:w="15" w:type="dxa"/>
              <w:left w:w="149" w:type="dxa"/>
              <w:bottom w:w="15" w:type="dxa"/>
              <w:right w:w="149" w:type="dxa"/>
            </w:tcMar>
            <w:hideMark/>
          </w:tcPr>
          <w:p w:rsidR="00EF5337" w:rsidRPr="00685CCC" w:rsidRDefault="00EF5337" w:rsidP="00A64303">
            <w:pPr>
              <w:pStyle w:val="ab"/>
            </w:pPr>
          </w:p>
        </w:tc>
        <w:tc>
          <w:tcPr>
            <w:tcW w:w="1970" w:type="dxa"/>
            <w:tcMar>
              <w:top w:w="15" w:type="dxa"/>
              <w:left w:w="149" w:type="dxa"/>
              <w:bottom w:w="15" w:type="dxa"/>
              <w:right w:w="149" w:type="dxa"/>
            </w:tcMar>
            <w:hideMark/>
          </w:tcPr>
          <w:p w:rsidR="00EF5337" w:rsidRPr="00685CCC" w:rsidRDefault="00EF5337" w:rsidP="00A64303">
            <w:pPr>
              <w:pStyle w:val="ab"/>
            </w:pPr>
          </w:p>
        </w:tc>
        <w:tc>
          <w:tcPr>
            <w:tcW w:w="2775" w:type="dxa"/>
            <w:tcMar>
              <w:top w:w="15" w:type="dxa"/>
              <w:left w:w="149" w:type="dxa"/>
              <w:bottom w:w="15" w:type="dxa"/>
              <w:right w:w="149" w:type="dxa"/>
            </w:tcMar>
            <w:hideMark/>
          </w:tcPr>
          <w:p w:rsidR="00EF5337" w:rsidRPr="00685CCC" w:rsidRDefault="00EF5337" w:rsidP="00A64303">
            <w:pPr>
              <w:pStyle w:val="ab"/>
            </w:pPr>
          </w:p>
        </w:tc>
      </w:tr>
    </w:tbl>
    <w:p w:rsidR="00EB4F8E" w:rsidRDefault="00F32C55" w:rsidP="00F32C55">
      <w:pPr>
        <w:pStyle w:val="38"/>
        <w:shd w:val="clear" w:color="auto" w:fill="auto"/>
        <w:spacing w:before="0"/>
        <w:ind w:right="20"/>
        <w:rPr>
          <w:sz w:val="28"/>
          <w:szCs w:val="28"/>
        </w:rPr>
      </w:pPr>
      <w:r>
        <w:rPr>
          <w:b w:val="0"/>
          <w:bCs w:val="0"/>
          <w:sz w:val="28"/>
          <w:szCs w:val="28"/>
        </w:rPr>
        <w:t>_________________</w:t>
      </w:r>
    </w:p>
    <w:sectPr w:rsidR="00EB4F8E"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DD94A43"/>
    <w:multiLevelType w:val="multilevel"/>
    <w:tmpl w:val="CDB42B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1AE4913"/>
    <w:multiLevelType w:val="multilevel"/>
    <w:tmpl w:val="F64C7A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B41213"/>
    <w:multiLevelType w:val="multilevel"/>
    <w:tmpl w:val="16B202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2C48141A"/>
    <w:multiLevelType w:val="hybridMultilevel"/>
    <w:tmpl w:val="DB5E3572"/>
    <w:lvl w:ilvl="0" w:tplc="43F0A15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B659C9"/>
    <w:multiLevelType w:val="multilevel"/>
    <w:tmpl w:val="56D6E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9DC086A"/>
    <w:multiLevelType w:val="multilevel"/>
    <w:tmpl w:val="E86E6852"/>
    <w:lvl w:ilvl="0">
      <w:start w:val="2"/>
      <w:numFmt w:val="decimal"/>
      <w:lvlText w:val="%1."/>
      <w:lvlJc w:val="left"/>
      <w:pPr>
        <w:ind w:left="450" w:hanging="450"/>
      </w:pPr>
      <w:rPr>
        <w:rFonts w:hint="default"/>
      </w:rPr>
    </w:lvl>
    <w:lvl w:ilvl="1">
      <w:start w:val="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5A813F0D"/>
    <w:multiLevelType w:val="multilevel"/>
    <w:tmpl w:val="86C00B9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1D2EA1"/>
    <w:multiLevelType w:val="multilevel"/>
    <w:tmpl w:val="400A2C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73820204"/>
    <w:multiLevelType w:val="multilevel"/>
    <w:tmpl w:val="165E59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2"/>
  </w:num>
  <w:num w:numId="3">
    <w:abstractNumId w:val="33"/>
  </w:num>
  <w:num w:numId="4">
    <w:abstractNumId w:val="41"/>
  </w:num>
  <w:num w:numId="5">
    <w:abstractNumId w:val="35"/>
  </w:num>
  <w:num w:numId="6">
    <w:abstractNumId w:val="15"/>
  </w:num>
  <w:num w:numId="7">
    <w:abstractNumId w:val="28"/>
  </w:num>
  <w:num w:numId="8">
    <w:abstractNumId w:val="27"/>
  </w:num>
  <w:num w:numId="9">
    <w:abstractNumId w:val="11"/>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2"/>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9"/>
  </w:num>
  <w:num w:numId="27">
    <w:abstractNumId w:val="17"/>
  </w:num>
  <w:num w:numId="28">
    <w:abstractNumId w:val="34"/>
  </w:num>
  <w:num w:numId="29">
    <w:abstractNumId w:val="29"/>
  </w:num>
  <w:num w:numId="30">
    <w:abstractNumId w:val="19"/>
  </w:num>
  <w:num w:numId="31">
    <w:abstractNumId w:val="10"/>
  </w:num>
  <w:num w:numId="32">
    <w:abstractNumId w:val="12"/>
  </w:num>
  <w:num w:numId="33">
    <w:abstractNumId w:val="22"/>
  </w:num>
  <w:num w:numId="34">
    <w:abstractNumId w:val="13"/>
  </w:num>
  <w:num w:numId="35">
    <w:abstractNumId w:val="24"/>
  </w:num>
  <w:num w:numId="36">
    <w:abstractNumId w:val="30"/>
  </w:num>
  <w:num w:numId="37">
    <w:abstractNumId w:val="21"/>
  </w:num>
  <w:num w:numId="38">
    <w:abstractNumId w:val="38"/>
  </w:num>
  <w:num w:numId="39">
    <w:abstractNumId w:val="20"/>
  </w:num>
  <w:num w:numId="40">
    <w:abstractNumId w:val="18"/>
  </w:num>
  <w:num w:numId="41">
    <w:abstractNumId w:val="40"/>
  </w:num>
  <w:num w:numId="42">
    <w:abstractNumId w:val="37"/>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E17CB"/>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DCC"/>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1DB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1AB2"/>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566B"/>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107B"/>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4F8E"/>
    <w:rsid w:val="00EC03E9"/>
    <w:rsid w:val="00EC25F7"/>
    <w:rsid w:val="00EC2DD7"/>
    <w:rsid w:val="00EC7367"/>
    <w:rsid w:val="00ED6DCD"/>
    <w:rsid w:val="00EE2DE0"/>
    <w:rsid w:val="00EF32F5"/>
    <w:rsid w:val="00EF5337"/>
    <w:rsid w:val="00F0394F"/>
    <w:rsid w:val="00F06FD3"/>
    <w:rsid w:val="00F11B2B"/>
    <w:rsid w:val="00F15700"/>
    <w:rsid w:val="00F26E83"/>
    <w:rsid w:val="00F32C55"/>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37">
    <w:name w:val="Основной текст (3)_"/>
    <w:basedOn w:val="a0"/>
    <w:link w:val="38"/>
    <w:rsid w:val="00EB4F8E"/>
    <w:rPr>
      <w:b/>
      <w:bCs/>
      <w:shd w:val="clear" w:color="auto" w:fill="FFFFFF"/>
    </w:rPr>
  </w:style>
  <w:style w:type="paragraph" w:customStyle="1" w:styleId="38">
    <w:name w:val="Основной текст (3)"/>
    <w:basedOn w:val="a"/>
    <w:link w:val="37"/>
    <w:rsid w:val="00EB4F8E"/>
    <w:pPr>
      <w:widowControl w:val="0"/>
      <w:shd w:val="clear" w:color="auto" w:fill="FFFFFF"/>
      <w:spacing w:before="600" w:line="322" w:lineRule="exact"/>
      <w:jc w:val="center"/>
    </w:pPr>
    <w:rPr>
      <w:b/>
      <w:bCs/>
      <w:sz w:val="20"/>
      <w:szCs w:val="20"/>
    </w:rPr>
  </w:style>
  <w:style w:type="character" w:customStyle="1" w:styleId="1f0">
    <w:name w:val="Основной текст1"/>
    <w:basedOn w:val="a0"/>
    <w:rsid w:val="00EB4F8E"/>
    <w:rPr>
      <w:rFonts w:ascii="Times New Roman" w:eastAsia="Times New Roman" w:hAnsi="Times New Roman" w:cs="Times New Roman"/>
      <w:color w:val="000000"/>
      <w:spacing w:val="1"/>
      <w:w w:val="100"/>
      <w:position w:val="0"/>
      <w:sz w:val="24"/>
      <w:szCs w:val="24"/>
      <w:u w:val="single"/>
      <w:shd w:val="clear" w:color="auto" w:fill="FFFFFF"/>
      <w:lang w:val="en-US" w:eastAsia="en-US" w:bidi="en-US"/>
    </w:rPr>
  </w:style>
  <w:style w:type="character" w:customStyle="1" w:styleId="28">
    <w:name w:val="Основной текст2"/>
    <w:basedOn w:val="a0"/>
    <w:rsid w:val="00EB4F8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afff">
    <w:name w:val="Основной текст_"/>
    <w:basedOn w:val="a0"/>
    <w:link w:val="39"/>
    <w:rsid w:val="00EB4F8E"/>
    <w:rPr>
      <w:spacing w:val="1"/>
      <w:shd w:val="clear" w:color="auto" w:fill="FFFFFF"/>
    </w:rPr>
  </w:style>
  <w:style w:type="paragraph" w:customStyle="1" w:styleId="39">
    <w:name w:val="Основной текст3"/>
    <w:basedOn w:val="a"/>
    <w:link w:val="afff"/>
    <w:rsid w:val="00EB4F8E"/>
    <w:pPr>
      <w:widowControl w:val="0"/>
      <w:shd w:val="clear" w:color="auto" w:fill="FFFFFF"/>
      <w:spacing w:before="240" w:after="240" w:line="0" w:lineRule="atLeast"/>
      <w:ind w:hanging="360"/>
      <w:jc w:val="both"/>
    </w:pPr>
    <w:rPr>
      <w:spacing w:val="1"/>
      <w:sz w:val="20"/>
      <w:szCs w:val="20"/>
    </w:rPr>
  </w:style>
  <w:style w:type="character" w:customStyle="1" w:styleId="412pt0pt">
    <w:name w:val="Основной текст (4) + 12 pt;Интервал 0 pt"/>
    <w:basedOn w:val="a0"/>
    <w:rsid w:val="00EB4F8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1f1">
    <w:name w:val="Заголовок №1_"/>
    <w:basedOn w:val="a0"/>
    <w:link w:val="1f2"/>
    <w:rsid w:val="00EB4F8E"/>
    <w:rPr>
      <w:b/>
      <w:bCs/>
      <w:shd w:val="clear" w:color="auto" w:fill="FFFFFF"/>
    </w:rPr>
  </w:style>
  <w:style w:type="paragraph" w:customStyle="1" w:styleId="1f2">
    <w:name w:val="Заголовок №1"/>
    <w:basedOn w:val="a"/>
    <w:link w:val="1f1"/>
    <w:rsid w:val="00EB4F8E"/>
    <w:pPr>
      <w:widowControl w:val="0"/>
      <w:shd w:val="clear" w:color="auto" w:fill="FFFFFF"/>
      <w:spacing w:before="240" w:after="240" w:line="0" w:lineRule="atLeast"/>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2018-04-04T06:56:00Z</cp:lastPrinted>
  <dcterms:created xsi:type="dcterms:W3CDTF">2018-04-04T06:56:00Z</dcterms:created>
  <dcterms:modified xsi:type="dcterms:W3CDTF">2018-04-04T06:56:00Z</dcterms:modified>
</cp:coreProperties>
</file>