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5C3901">
        <w:rPr>
          <w:sz w:val="28"/>
        </w:rPr>
        <w:t>13</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5C3901">
        <w:rPr>
          <w:sz w:val="28"/>
        </w:rPr>
        <w:t>27</w:t>
      </w:r>
      <w:r w:rsidR="00291BD3">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291BD3" w:rsidRPr="003C4BD0" w:rsidRDefault="00291BD3" w:rsidP="003C4BD0">
      <w:pPr>
        <w:pStyle w:val="ab"/>
        <w:jc w:val="center"/>
        <w:rPr>
          <w:b/>
          <w:sz w:val="28"/>
          <w:szCs w:val="28"/>
        </w:rPr>
      </w:pPr>
      <w:r w:rsidRPr="003C4BD0">
        <w:rPr>
          <w:b/>
          <w:sz w:val="28"/>
          <w:szCs w:val="28"/>
        </w:rPr>
        <w:t>Об установлении размеров ежемесячного денежного поощрения муниципальных служащих муниципального района «Чернышевский район»</w:t>
      </w:r>
    </w:p>
    <w:p w:rsidR="003C4BD0" w:rsidRDefault="003C4BD0" w:rsidP="00291BD3">
      <w:pPr>
        <w:pStyle w:val="ab"/>
        <w:ind w:firstLine="709"/>
        <w:jc w:val="both"/>
        <w:rPr>
          <w:sz w:val="28"/>
          <w:szCs w:val="28"/>
        </w:rPr>
      </w:pPr>
    </w:p>
    <w:p w:rsidR="00291BD3" w:rsidRPr="003C4BD0" w:rsidRDefault="00291BD3" w:rsidP="00291BD3">
      <w:pPr>
        <w:pStyle w:val="ab"/>
        <w:ind w:firstLine="709"/>
        <w:jc w:val="both"/>
        <w:rPr>
          <w:b/>
          <w:sz w:val="28"/>
          <w:szCs w:val="28"/>
        </w:rPr>
      </w:pPr>
      <w:proofErr w:type="gramStart"/>
      <w:r w:rsidRPr="00291BD3">
        <w:rPr>
          <w:sz w:val="28"/>
          <w:szCs w:val="28"/>
        </w:rPr>
        <w:t>В целях регулирования отдельных вопросов оплаты труда,  в соответствии со статьей  9 Закона Забайкальского края от 29 декабря 2008 года № 108-ЗЗК «О муниципальной службе в Забайкальском крае», подпунктом 46 пункта 7 Решения Совета муниципального района «Чернышевский район» от 25 октября 2016 года № 9 «О размере и условиях оплаты труда муниципальных служащих муниципального района Чернышевский район», руководствуясь статьей 25 Устава муниципального</w:t>
      </w:r>
      <w:proofErr w:type="gramEnd"/>
      <w:r w:rsidRPr="00291BD3">
        <w:rPr>
          <w:sz w:val="28"/>
          <w:szCs w:val="28"/>
        </w:rPr>
        <w:t xml:space="preserve"> района «Чернышевский район», администрация муниципального района «Чернышевский район» </w:t>
      </w:r>
      <w:r w:rsidR="003C4BD0">
        <w:rPr>
          <w:sz w:val="28"/>
          <w:szCs w:val="28"/>
        </w:rPr>
        <w:t xml:space="preserve">         </w:t>
      </w:r>
      <w:r w:rsidRPr="003C4BD0">
        <w:rPr>
          <w:b/>
          <w:sz w:val="28"/>
          <w:szCs w:val="28"/>
        </w:rPr>
        <w:t xml:space="preserve">п </w:t>
      </w:r>
      <w:proofErr w:type="gramStart"/>
      <w:r w:rsidRPr="003C4BD0">
        <w:rPr>
          <w:b/>
          <w:sz w:val="28"/>
          <w:szCs w:val="28"/>
        </w:rPr>
        <w:t>о</w:t>
      </w:r>
      <w:proofErr w:type="gramEnd"/>
      <w:r w:rsidRPr="003C4BD0">
        <w:rPr>
          <w:b/>
          <w:sz w:val="28"/>
          <w:szCs w:val="28"/>
        </w:rPr>
        <w:t xml:space="preserve"> с т а </w:t>
      </w:r>
      <w:proofErr w:type="spellStart"/>
      <w:r w:rsidRPr="003C4BD0">
        <w:rPr>
          <w:b/>
          <w:sz w:val="28"/>
          <w:szCs w:val="28"/>
        </w:rPr>
        <w:t>н</w:t>
      </w:r>
      <w:proofErr w:type="spellEnd"/>
      <w:r w:rsidRPr="003C4BD0">
        <w:rPr>
          <w:b/>
          <w:sz w:val="28"/>
          <w:szCs w:val="28"/>
        </w:rPr>
        <w:t xml:space="preserve"> о в л я е т:</w:t>
      </w:r>
    </w:p>
    <w:p w:rsidR="003C4BD0" w:rsidRPr="00291BD3" w:rsidRDefault="003C4BD0" w:rsidP="00291BD3">
      <w:pPr>
        <w:pStyle w:val="ab"/>
        <w:ind w:firstLine="709"/>
        <w:jc w:val="both"/>
        <w:rPr>
          <w:sz w:val="28"/>
          <w:szCs w:val="28"/>
        </w:rPr>
      </w:pPr>
    </w:p>
    <w:p w:rsidR="00291BD3" w:rsidRPr="00291BD3" w:rsidRDefault="007A1FC1" w:rsidP="00291BD3">
      <w:pPr>
        <w:pStyle w:val="ab"/>
        <w:ind w:firstLine="709"/>
        <w:jc w:val="both"/>
        <w:rPr>
          <w:sz w:val="28"/>
          <w:szCs w:val="28"/>
        </w:rPr>
      </w:pPr>
      <w:r>
        <w:rPr>
          <w:sz w:val="28"/>
          <w:szCs w:val="28"/>
        </w:rPr>
        <w:t xml:space="preserve">1. </w:t>
      </w:r>
      <w:r w:rsidR="00291BD3" w:rsidRPr="00291BD3">
        <w:rPr>
          <w:sz w:val="28"/>
          <w:szCs w:val="28"/>
        </w:rPr>
        <w:t>Установить предельные размеры ежемесячного денежного поощрения муниципальных служащих муниципального района «Чернышевский район»,  согласно  приложению к настоящему постановлению.</w:t>
      </w:r>
    </w:p>
    <w:p w:rsidR="00291BD3" w:rsidRPr="00291BD3" w:rsidRDefault="007A1FC1" w:rsidP="00291BD3">
      <w:pPr>
        <w:pStyle w:val="ab"/>
        <w:ind w:firstLine="709"/>
        <w:jc w:val="both"/>
        <w:rPr>
          <w:sz w:val="28"/>
          <w:szCs w:val="28"/>
        </w:rPr>
      </w:pPr>
      <w:r>
        <w:rPr>
          <w:sz w:val="28"/>
          <w:szCs w:val="28"/>
        </w:rPr>
        <w:t xml:space="preserve">2. </w:t>
      </w:r>
      <w:r w:rsidR="00291BD3" w:rsidRPr="00291BD3">
        <w:rPr>
          <w:sz w:val="28"/>
          <w:szCs w:val="28"/>
        </w:rPr>
        <w:t>Конкретные размеры ежемесячного денежного поощрения муниципальных служащих устанавливаются представителем нанимателя исходя из эффективности и результативности профессиональной служебной деятельности соответствующего  муниципального служащего с учетом проявленной инициативы, объема, качества и своевременности выполняемой работы.</w:t>
      </w:r>
    </w:p>
    <w:p w:rsidR="00291BD3" w:rsidRPr="00291BD3" w:rsidRDefault="007A1FC1" w:rsidP="00291BD3">
      <w:pPr>
        <w:pStyle w:val="ab"/>
        <w:ind w:firstLine="709"/>
        <w:jc w:val="both"/>
        <w:rPr>
          <w:sz w:val="28"/>
          <w:szCs w:val="28"/>
        </w:rPr>
      </w:pPr>
      <w:r>
        <w:rPr>
          <w:sz w:val="28"/>
          <w:szCs w:val="28"/>
        </w:rPr>
        <w:t xml:space="preserve">3. </w:t>
      </w:r>
      <w:r w:rsidR="00291BD3" w:rsidRPr="00291BD3">
        <w:rPr>
          <w:sz w:val="28"/>
          <w:szCs w:val="28"/>
        </w:rPr>
        <w:t>Настоящее постановление администрации муниципального района «Чернышевский район» вступает в законную силу после его официального опубликования и распространяется на правоотношения, возникшие с 01.05.2018 года.</w:t>
      </w:r>
    </w:p>
    <w:p w:rsidR="00291BD3" w:rsidRPr="00291BD3" w:rsidRDefault="007A1FC1" w:rsidP="00291BD3">
      <w:pPr>
        <w:pStyle w:val="ab"/>
        <w:ind w:firstLine="709"/>
        <w:jc w:val="both"/>
        <w:rPr>
          <w:sz w:val="28"/>
          <w:szCs w:val="28"/>
        </w:rPr>
      </w:pPr>
      <w:r>
        <w:rPr>
          <w:sz w:val="28"/>
          <w:szCs w:val="28"/>
        </w:rPr>
        <w:t xml:space="preserve">4. </w:t>
      </w:r>
      <w:r w:rsidR="00291BD3" w:rsidRPr="00291BD3">
        <w:rPr>
          <w:sz w:val="28"/>
          <w:szCs w:val="28"/>
        </w:rPr>
        <w:t xml:space="preserve">Настоящее постановление разместить на официальном сайте </w:t>
      </w:r>
      <w:r w:rsidR="00291BD3" w:rsidRPr="00291BD3">
        <w:rPr>
          <w:sz w:val="28"/>
          <w:szCs w:val="28"/>
          <w:lang w:val="en-US"/>
        </w:rPr>
        <w:t>www</w:t>
      </w:r>
      <w:r w:rsidR="00291BD3" w:rsidRPr="00291BD3">
        <w:rPr>
          <w:sz w:val="28"/>
          <w:szCs w:val="28"/>
        </w:rPr>
        <w:t>.</w:t>
      </w:r>
      <w:proofErr w:type="spellStart"/>
      <w:r w:rsidR="00291BD3" w:rsidRPr="00291BD3">
        <w:rPr>
          <w:sz w:val="28"/>
          <w:szCs w:val="28"/>
        </w:rPr>
        <w:t>чернышевск</w:t>
      </w:r>
      <w:proofErr w:type="gramStart"/>
      <w:r w:rsidR="00291BD3">
        <w:rPr>
          <w:sz w:val="28"/>
          <w:szCs w:val="28"/>
        </w:rPr>
        <w:t>.</w:t>
      </w:r>
      <w:r w:rsidR="00291BD3" w:rsidRPr="00291BD3">
        <w:rPr>
          <w:sz w:val="28"/>
          <w:szCs w:val="28"/>
        </w:rPr>
        <w:t>з</w:t>
      </w:r>
      <w:proofErr w:type="gramEnd"/>
      <w:r w:rsidR="00291BD3" w:rsidRPr="00291BD3">
        <w:rPr>
          <w:sz w:val="28"/>
          <w:szCs w:val="28"/>
        </w:rPr>
        <w:t>абайкальскийкрай.рф</w:t>
      </w:r>
      <w:proofErr w:type="spellEnd"/>
      <w:r w:rsidR="00291BD3">
        <w:rPr>
          <w:sz w:val="28"/>
          <w:szCs w:val="28"/>
        </w:rPr>
        <w:t xml:space="preserve">, </w:t>
      </w:r>
      <w:r w:rsidR="00291BD3" w:rsidRPr="00291BD3">
        <w:rPr>
          <w:color w:val="000000" w:themeColor="text1"/>
          <w:sz w:val="28"/>
          <w:szCs w:val="28"/>
        </w:rPr>
        <w:t>в разделе Документы.</w:t>
      </w:r>
    </w:p>
    <w:p w:rsidR="00E36B13" w:rsidRDefault="00E36B13" w:rsidP="00D97989">
      <w:pPr>
        <w:jc w:val="both"/>
        <w:rPr>
          <w:bCs/>
          <w:sz w:val="28"/>
          <w:szCs w:val="28"/>
        </w:rPr>
      </w:pPr>
    </w:p>
    <w:p w:rsidR="005C3901" w:rsidRDefault="005C3901"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C4BD0" w:rsidRDefault="003C4BD0" w:rsidP="00291BD3">
      <w:pPr>
        <w:spacing w:before="100" w:beforeAutospacing="1"/>
        <w:ind w:left="5103"/>
        <w:jc w:val="right"/>
      </w:pPr>
    </w:p>
    <w:p w:rsidR="003C4BD0" w:rsidRDefault="003C4BD0" w:rsidP="00291BD3">
      <w:pPr>
        <w:spacing w:before="100" w:beforeAutospacing="1"/>
        <w:ind w:left="5103"/>
        <w:jc w:val="right"/>
      </w:pPr>
    </w:p>
    <w:p w:rsidR="003C4BD0" w:rsidRDefault="003C4BD0" w:rsidP="00291BD3">
      <w:pPr>
        <w:spacing w:before="100" w:beforeAutospacing="1"/>
        <w:ind w:left="5103"/>
        <w:jc w:val="right"/>
      </w:pPr>
    </w:p>
    <w:p w:rsidR="00291BD3" w:rsidRPr="003C4BD0" w:rsidRDefault="005A7AC8" w:rsidP="00291BD3">
      <w:pPr>
        <w:spacing w:before="100" w:beforeAutospacing="1"/>
        <w:ind w:left="5103"/>
        <w:jc w:val="right"/>
      </w:pPr>
      <w:r>
        <w:lastRenderedPageBreak/>
        <w:t>П</w:t>
      </w:r>
      <w:r w:rsidR="003C4BD0" w:rsidRPr="003C4BD0">
        <w:t>риложение</w:t>
      </w:r>
    </w:p>
    <w:p w:rsidR="00291BD3" w:rsidRPr="003C4BD0" w:rsidRDefault="00291BD3" w:rsidP="00291BD3">
      <w:pPr>
        <w:jc w:val="right"/>
      </w:pPr>
      <w:r w:rsidRPr="003C4BD0">
        <w:t>к постановлению администрации</w:t>
      </w:r>
    </w:p>
    <w:p w:rsidR="003C4BD0" w:rsidRPr="003C4BD0" w:rsidRDefault="00291BD3" w:rsidP="00291BD3">
      <w:pPr>
        <w:pStyle w:val="aa"/>
        <w:jc w:val="right"/>
      </w:pPr>
      <w:r w:rsidRPr="003C4BD0">
        <w:t xml:space="preserve">муниципального района </w:t>
      </w:r>
    </w:p>
    <w:p w:rsidR="00291BD3" w:rsidRPr="003C4BD0" w:rsidRDefault="00291BD3" w:rsidP="00291BD3">
      <w:pPr>
        <w:pStyle w:val="aa"/>
        <w:jc w:val="right"/>
      </w:pPr>
      <w:r w:rsidRPr="003C4BD0">
        <w:t>«Чернышевский район»</w:t>
      </w:r>
    </w:p>
    <w:p w:rsidR="00291BD3" w:rsidRPr="003C4BD0" w:rsidRDefault="003C4BD0" w:rsidP="00291BD3">
      <w:pPr>
        <w:pStyle w:val="aa"/>
        <w:jc w:val="right"/>
      </w:pPr>
      <w:r w:rsidRPr="003C4BD0">
        <w:t>от 13 июня 2018г. № 274</w:t>
      </w:r>
    </w:p>
    <w:p w:rsidR="00291BD3" w:rsidRDefault="00291BD3" w:rsidP="00291BD3">
      <w:pPr>
        <w:pStyle w:val="aa"/>
        <w:jc w:val="right"/>
        <w:rPr>
          <w:sz w:val="28"/>
          <w:szCs w:val="28"/>
        </w:rPr>
      </w:pPr>
    </w:p>
    <w:p w:rsidR="00291BD3" w:rsidRDefault="00291BD3" w:rsidP="00291BD3">
      <w:pPr>
        <w:pStyle w:val="aa"/>
        <w:jc w:val="right"/>
        <w:rPr>
          <w:sz w:val="28"/>
          <w:szCs w:val="28"/>
        </w:rPr>
      </w:pPr>
    </w:p>
    <w:p w:rsidR="00291BD3" w:rsidRPr="00FF7E30" w:rsidRDefault="00291BD3" w:rsidP="00291BD3">
      <w:pPr>
        <w:pStyle w:val="aa"/>
        <w:jc w:val="center"/>
        <w:rPr>
          <w:b/>
          <w:sz w:val="28"/>
          <w:szCs w:val="28"/>
        </w:rPr>
      </w:pPr>
      <w:r w:rsidRPr="00FF7E30">
        <w:rPr>
          <w:b/>
          <w:sz w:val="28"/>
          <w:szCs w:val="28"/>
        </w:rPr>
        <w:t>РАЗМЕРЫ ДЕНЕЖНОГО ПООЩРЕНИЯ</w:t>
      </w:r>
    </w:p>
    <w:p w:rsidR="00291BD3" w:rsidRPr="00FF7E30" w:rsidRDefault="00291BD3" w:rsidP="00291BD3">
      <w:pPr>
        <w:pStyle w:val="aa"/>
        <w:jc w:val="center"/>
        <w:rPr>
          <w:b/>
          <w:sz w:val="28"/>
          <w:szCs w:val="28"/>
        </w:rPr>
      </w:pPr>
      <w:r w:rsidRPr="00FF7E30">
        <w:rPr>
          <w:b/>
          <w:sz w:val="28"/>
          <w:szCs w:val="28"/>
        </w:rPr>
        <w:t xml:space="preserve">муниципальных служащих муниципального района </w:t>
      </w:r>
    </w:p>
    <w:p w:rsidR="00291BD3" w:rsidRDefault="00291BD3" w:rsidP="00291BD3">
      <w:pPr>
        <w:pStyle w:val="aa"/>
        <w:jc w:val="center"/>
        <w:rPr>
          <w:b/>
          <w:sz w:val="28"/>
          <w:szCs w:val="28"/>
        </w:rPr>
      </w:pPr>
      <w:r w:rsidRPr="00FF7E30">
        <w:rPr>
          <w:b/>
          <w:sz w:val="28"/>
          <w:szCs w:val="28"/>
        </w:rPr>
        <w:t>«Чернышевский район»</w:t>
      </w:r>
    </w:p>
    <w:p w:rsidR="00291BD3" w:rsidRDefault="00291BD3" w:rsidP="00291BD3">
      <w:pPr>
        <w:pStyle w:val="aa"/>
        <w:jc w:val="center"/>
        <w:rPr>
          <w:b/>
          <w:sz w:val="28"/>
          <w:szCs w:val="28"/>
        </w:rPr>
      </w:pPr>
    </w:p>
    <w:tbl>
      <w:tblPr>
        <w:tblStyle w:val="a4"/>
        <w:tblW w:w="0" w:type="auto"/>
        <w:tblInd w:w="720" w:type="dxa"/>
        <w:tblLook w:val="04A0"/>
      </w:tblPr>
      <w:tblGrid>
        <w:gridCol w:w="4505"/>
        <w:gridCol w:w="4487"/>
      </w:tblGrid>
      <w:tr w:rsidR="00291BD3" w:rsidTr="00801C95">
        <w:tc>
          <w:tcPr>
            <w:tcW w:w="4785" w:type="dxa"/>
          </w:tcPr>
          <w:p w:rsidR="00291BD3" w:rsidRPr="00FF7E30" w:rsidRDefault="00291BD3" w:rsidP="00801C95">
            <w:pPr>
              <w:pStyle w:val="aa"/>
              <w:ind w:left="0"/>
              <w:jc w:val="center"/>
              <w:rPr>
                <w:sz w:val="28"/>
                <w:szCs w:val="28"/>
              </w:rPr>
            </w:pPr>
            <w:r w:rsidRPr="00FF7E30">
              <w:rPr>
                <w:sz w:val="28"/>
                <w:szCs w:val="28"/>
              </w:rPr>
              <w:t>Должности муниципальной службы</w:t>
            </w:r>
          </w:p>
        </w:tc>
        <w:tc>
          <w:tcPr>
            <w:tcW w:w="4786" w:type="dxa"/>
          </w:tcPr>
          <w:p w:rsidR="00291BD3" w:rsidRPr="00FF7E30" w:rsidRDefault="00291BD3" w:rsidP="00801C95">
            <w:pPr>
              <w:pStyle w:val="aa"/>
              <w:ind w:left="0"/>
              <w:jc w:val="center"/>
              <w:rPr>
                <w:sz w:val="28"/>
                <w:szCs w:val="28"/>
              </w:rPr>
            </w:pPr>
            <w:r w:rsidRPr="00FF7E30">
              <w:rPr>
                <w:sz w:val="28"/>
                <w:szCs w:val="28"/>
              </w:rPr>
              <w:t>Ежемесячное денежное поощрение (должностных окладов в месяц)</w:t>
            </w:r>
          </w:p>
        </w:tc>
      </w:tr>
      <w:tr w:rsidR="00291BD3" w:rsidTr="00801C95">
        <w:tc>
          <w:tcPr>
            <w:tcW w:w="4785" w:type="dxa"/>
          </w:tcPr>
          <w:p w:rsidR="00291BD3" w:rsidRPr="00FF7E30" w:rsidRDefault="00291BD3" w:rsidP="00801C95">
            <w:pPr>
              <w:pStyle w:val="aa"/>
              <w:ind w:left="0"/>
              <w:jc w:val="center"/>
              <w:rPr>
                <w:sz w:val="28"/>
                <w:szCs w:val="28"/>
              </w:rPr>
            </w:pPr>
            <w:r>
              <w:rPr>
                <w:sz w:val="28"/>
                <w:szCs w:val="28"/>
              </w:rPr>
              <w:t>Высшая группа должностей</w:t>
            </w:r>
          </w:p>
        </w:tc>
        <w:tc>
          <w:tcPr>
            <w:tcW w:w="4786" w:type="dxa"/>
          </w:tcPr>
          <w:p w:rsidR="00291BD3" w:rsidRPr="00FF7E30" w:rsidRDefault="00291BD3" w:rsidP="00801C95">
            <w:pPr>
              <w:pStyle w:val="aa"/>
              <w:ind w:left="0"/>
              <w:jc w:val="center"/>
              <w:rPr>
                <w:sz w:val="28"/>
                <w:szCs w:val="28"/>
              </w:rPr>
            </w:pPr>
            <w:r>
              <w:rPr>
                <w:sz w:val="28"/>
                <w:szCs w:val="28"/>
              </w:rPr>
              <w:t>2,7-2,8</w:t>
            </w:r>
          </w:p>
        </w:tc>
      </w:tr>
      <w:tr w:rsidR="00291BD3" w:rsidTr="00801C95">
        <w:tc>
          <w:tcPr>
            <w:tcW w:w="4785" w:type="dxa"/>
          </w:tcPr>
          <w:p w:rsidR="00291BD3" w:rsidRPr="00FF7E30" w:rsidRDefault="00291BD3" w:rsidP="00801C95">
            <w:pPr>
              <w:pStyle w:val="aa"/>
              <w:ind w:left="0"/>
              <w:jc w:val="center"/>
              <w:rPr>
                <w:sz w:val="28"/>
                <w:szCs w:val="28"/>
              </w:rPr>
            </w:pPr>
            <w:r>
              <w:rPr>
                <w:sz w:val="28"/>
                <w:szCs w:val="28"/>
              </w:rPr>
              <w:t>Главная группа должностей</w:t>
            </w:r>
          </w:p>
        </w:tc>
        <w:tc>
          <w:tcPr>
            <w:tcW w:w="4786" w:type="dxa"/>
          </w:tcPr>
          <w:p w:rsidR="00291BD3" w:rsidRPr="00FF7E30" w:rsidRDefault="00291BD3" w:rsidP="00801C95">
            <w:pPr>
              <w:pStyle w:val="aa"/>
              <w:ind w:left="0"/>
              <w:jc w:val="center"/>
              <w:rPr>
                <w:sz w:val="28"/>
                <w:szCs w:val="28"/>
              </w:rPr>
            </w:pPr>
            <w:r>
              <w:rPr>
                <w:sz w:val="28"/>
                <w:szCs w:val="28"/>
              </w:rPr>
              <w:t>2,5-2,6</w:t>
            </w:r>
          </w:p>
        </w:tc>
      </w:tr>
      <w:tr w:rsidR="00291BD3" w:rsidTr="00801C95">
        <w:tc>
          <w:tcPr>
            <w:tcW w:w="4785" w:type="dxa"/>
          </w:tcPr>
          <w:p w:rsidR="00291BD3" w:rsidRPr="00FF7E30" w:rsidRDefault="00291BD3" w:rsidP="00801C95">
            <w:pPr>
              <w:pStyle w:val="aa"/>
              <w:ind w:left="0"/>
              <w:jc w:val="center"/>
              <w:rPr>
                <w:sz w:val="28"/>
                <w:szCs w:val="28"/>
              </w:rPr>
            </w:pPr>
            <w:r>
              <w:rPr>
                <w:sz w:val="28"/>
                <w:szCs w:val="28"/>
              </w:rPr>
              <w:t>Ведущая группа должностей</w:t>
            </w:r>
          </w:p>
        </w:tc>
        <w:tc>
          <w:tcPr>
            <w:tcW w:w="4786" w:type="dxa"/>
          </w:tcPr>
          <w:p w:rsidR="00291BD3" w:rsidRPr="00FF7E30" w:rsidRDefault="00291BD3" w:rsidP="00801C95">
            <w:pPr>
              <w:pStyle w:val="aa"/>
              <w:ind w:left="0"/>
              <w:jc w:val="center"/>
              <w:rPr>
                <w:sz w:val="28"/>
                <w:szCs w:val="28"/>
              </w:rPr>
            </w:pPr>
            <w:r>
              <w:rPr>
                <w:sz w:val="28"/>
                <w:szCs w:val="28"/>
              </w:rPr>
              <w:t>2,3-2,4</w:t>
            </w:r>
          </w:p>
        </w:tc>
      </w:tr>
      <w:tr w:rsidR="00291BD3" w:rsidTr="00801C95">
        <w:tc>
          <w:tcPr>
            <w:tcW w:w="4785" w:type="dxa"/>
          </w:tcPr>
          <w:p w:rsidR="00291BD3" w:rsidRPr="00FF7E30" w:rsidRDefault="00291BD3" w:rsidP="00801C95">
            <w:pPr>
              <w:pStyle w:val="aa"/>
              <w:ind w:left="0"/>
              <w:jc w:val="center"/>
              <w:rPr>
                <w:sz w:val="28"/>
                <w:szCs w:val="28"/>
              </w:rPr>
            </w:pPr>
            <w:r>
              <w:rPr>
                <w:sz w:val="28"/>
                <w:szCs w:val="28"/>
              </w:rPr>
              <w:t>Старшая группа должностей</w:t>
            </w:r>
          </w:p>
        </w:tc>
        <w:tc>
          <w:tcPr>
            <w:tcW w:w="4786" w:type="dxa"/>
          </w:tcPr>
          <w:p w:rsidR="00291BD3" w:rsidRPr="00FF7E30" w:rsidRDefault="00291BD3" w:rsidP="00801C95">
            <w:pPr>
              <w:pStyle w:val="aa"/>
              <w:ind w:left="0"/>
              <w:jc w:val="center"/>
              <w:rPr>
                <w:sz w:val="28"/>
                <w:szCs w:val="28"/>
              </w:rPr>
            </w:pPr>
            <w:r>
              <w:rPr>
                <w:sz w:val="28"/>
                <w:szCs w:val="28"/>
              </w:rPr>
              <w:t>2,1-2,2</w:t>
            </w:r>
          </w:p>
        </w:tc>
      </w:tr>
      <w:tr w:rsidR="00291BD3" w:rsidTr="00801C95">
        <w:tc>
          <w:tcPr>
            <w:tcW w:w="4785" w:type="dxa"/>
          </w:tcPr>
          <w:p w:rsidR="00291BD3" w:rsidRPr="00FF7E30" w:rsidRDefault="00291BD3" w:rsidP="00801C95">
            <w:pPr>
              <w:pStyle w:val="aa"/>
              <w:ind w:left="0"/>
              <w:jc w:val="center"/>
              <w:rPr>
                <w:sz w:val="28"/>
                <w:szCs w:val="28"/>
              </w:rPr>
            </w:pPr>
            <w:r>
              <w:rPr>
                <w:sz w:val="28"/>
                <w:szCs w:val="28"/>
              </w:rPr>
              <w:t>Младшая группа должностей</w:t>
            </w:r>
          </w:p>
        </w:tc>
        <w:tc>
          <w:tcPr>
            <w:tcW w:w="4786" w:type="dxa"/>
          </w:tcPr>
          <w:p w:rsidR="00291BD3" w:rsidRPr="00FF7E30" w:rsidRDefault="00291BD3" w:rsidP="00801C95">
            <w:pPr>
              <w:pStyle w:val="aa"/>
              <w:ind w:left="0"/>
              <w:jc w:val="center"/>
              <w:rPr>
                <w:sz w:val="28"/>
                <w:szCs w:val="28"/>
              </w:rPr>
            </w:pPr>
            <w:r>
              <w:rPr>
                <w:sz w:val="28"/>
                <w:szCs w:val="28"/>
              </w:rPr>
              <w:t>до 2,0</w:t>
            </w:r>
          </w:p>
        </w:tc>
      </w:tr>
    </w:tbl>
    <w:p w:rsidR="00291BD3" w:rsidRPr="00FF7E30" w:rsidRDefault="00291BD3" w:rsidP="00291BD3">
      <w:pPr>
        <w:pStyle w:val="aa"/>
        <w:jc w:val="both"/>
        <w:rPr>
          <w:b/>
          <w:sz w:val="28"/>
          <w:szCs w:val="28"/>
        </w:rPr>
      </w:pP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2A5E79"/>
    <w:multiLevelType w:val="hybridMultilevel"/>
    <w:tmpl w:val="CE6CA026"/>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76731B"/>
    <w:multiLevelType w:val="hybridMultilevel"/>
    <w:tmpl w:val="1DDE4BB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F2D7C9E"/>
    <w:multiLevelType w:val="hybridMultilevel"/>
    <w:tmpl w:val="0AE08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6"/>
  </w:num>
  <w:num w:numId="3">
    <w:abstractNumId w:val="30"/>
  </w:num>
  <w:num w:numId="4">
    <w:abstractNumId w:val="35"/>
  </w:num>
  <w:num w:numId="5">
    <w:abstractNumId w:val="32"/>
  </w:num>
  <w:num w:numId="6">
    <w:abstractNumId w:val="17"/>
  </w:num>
  <w:num w:numId="7">
    <w:abstractNumId w:val="26"/>
  </w:num>
  <w:num w:numId="8">
    <w:abstractNumId w:val="25"/>
  </w:num>
  <w:num w:numId="9">
    <w:abstractNumId w:val="13"/>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34"/>
  </w:num>
  <w:num w:numId="27">
    <w:abstractNumId w:val="19"/>
  </w:num>
  <w:num w:numId="28">
    <w:abstractNumId w:val="31"/>
  </w:num>
  <w:num w:numId="29">
    <w:abstractNumId w:val="27"/>
  </w:num>
  <w:num w:numId="30">
    <w:abstractNumId w:val="20"/>
  </w:num>
  <w:num w:numId="31">
    <w:abstractNumId w:val="11"/>
  </w:num>
  <w:num w:numId="32">
    <w:abstractNumId w:val="14"/>
  </w:num>
  <w:num w:numId="33">
    <w:abstractNumId w:val="21"/>
  </w:num>
  <w:num w:numId="34">
    <w:abstractNumId w:val="15"/>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1BD3"/>
    <w:rsid w:val="002934BF"/>
    <w:rsid w:val="00294EA7"/>
    <w:rsid w:val="002A1AB4"/>
    <w:rsid w:val="002A2876"/>
    <w:rsid w:val="002A47AB"/>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4BD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67531"/>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7AC8"/>
    <w:rsid w:val="005B68F5"/>
    <w:rsid w:val="005C3901"/>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1FC5"/>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1FC1"/>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0B65"/>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5E93"/>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msonormalbullet2gif">
    <w:name w:val="msonormalbullet2.gif"/>
    <w:basedOn w:val="a"/>
    <w:rsid w:val="005C3901"/>
    <w:pPr>
      <w:spacing w:before="100" w:beforeAutospacing="1" w:after="100" w:afterAutospacing="1"/>
    </w:pPr>
  </w:style>
  <w:style w:type="paragraph" w:customStyle="1" w:styleId="msonormalbullet2gifbullet1gif">
    <w:name w:val="msonormalbullet2gifbullet1.gif"/>
    <w:basedOn w:val="a"/>
    <w:rsid w:val="00711F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338</Words>
  <Characters>1929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2018-06-13T04:10:00Z</cp:lastPrinted>
  <dcterms:created xsi:type="dcterms:W3CDTF">2018-06-13T00:52:00Z</dcterms:created>
  <dcterms:modified xsi:type="dcterms:W3CDTF">2018-06-13T04:19:00Z</dcterms:modified>
</cp:coreProperties>
</file>