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113499">
        <w:rPr>
          <w:sz w:val="28"/>
        </w:rPr>
        <w:t>13</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B3D57">
        <w:rPr>
          <w:sz w:val="28"/>
        </w:rPr>
        <w:t>2</w:t>
      </w:r>
      <w:r w:rsidR="005A31FB">
        <w:rPr>
          <w:sz w:val="28"/>
        </w:rPr>
        <w:t>8</w:t>
      </w:r>
      <w:r w:rsidR="00600928">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600928" w:rsidRDefault="00600928" w:rsidP="00600928">
      <w:pPr>
        <w:jc w:val="center"/>
        <w:rPr>
          <w:b/>
          <w:sz w:val="28"/>
          <w:szCs w:val="28"/>
        </w:rPr>
      </w:pPr>
      <w:r w:rsidRPr="00F81DD1">
        <w:rPr>
          <w:b/>
          <w:sz w:val="28"/>
          <w:szCs w:val="28"/>
        </w:rPr>
        <w:t>Об утверждении перечня муниципальных услуг</w:t>
      </w:r>
      <w:r w:rsidRPr="00F81DD1">
        <w:t xml:space="preserve">, </w:t>
      </w:r>
      <w:r w:rsidRPr="00F81DD1">
        <w:rPr>
          <w:b/>
          <w:sz w:val="28"/>
          <w:szCs w:val="28"/>
        </w:rPr>
        <w:t>оказываемых муниципальными учреждениями муниципального района «Чернышевский район»,</w:t>
      </w:r>
      <w:r>
        <w:rPr>
          <w:b/>
          <w:sz w:val="28"/>
          <w:szCs w:val="28"/>
        </w:rPr>
        <w:t xml:space="preserve"> </w:t>
      </w:r>
      <w:r w:rsidRPr="00F81DD1">
        <w:rPr>
          <w:b/>
          <w:sz w:val="28"/>
          <w:szCs w:val="28"/>
        </w:rPr>
        <w:t xml:space="preserve">предоставление которых в многофункциональных центрах посредством комплексного запроса </w:t>
      </w:r>
    </w:p>
    <w:p w:rsidR="00600928" w:rsidRPr="00F81DD1" w:rsidRDefault="00600928" w:rsidP="00600928">
      <w:pPr>
        <w:jc w:val="center"/>
        <w:rPr>
          <w:b/>
          <w:sz w:val="28"/>
          <w:szCs w:val="28"/>
        </w:rPr>
      </w:pPr>
      <w:r w:rsidRPr="00F81DD1">
        <w:rPr>
          <w:b/>
          <w:sz w:val="28"/>
          <w:szCs w:val="28"/>
        </w:rPr>
        <w:t>не осуществляется</w:t>
      </w:r>
    </w:p>
    <w:p w:rsidR="00600928" w:rsidRPr="0084286E" w:rsidRDefault="00600928" w:rsidP="00600928">
      <w:pPr>
        <w:jc w:val="center"/>
        <w:rPr>
          <w:sz w:val="28"/>
          <w:szCs w:val="28"/>
        </w:rPr>
      </w:pPr>
    </w:p>
    <w:p w:rsidR="00600928" w:rsidRPr="000352C2" w:rsidRDefault="00600928" w:rsidP="00600928">
      <w:pPr>
        <w:ind w:firstLine="709"/>
        <w:contextualSpacing/>
        <w:jc w:val="both"/>
        <w:rPr>
          <w:bCs/>
          <w:color w:val="000000"/>
          <w:sz w:val="28"/>
          <w:szCs w:val="28"/>
        </w:rPr>
      </w:pPr>
      <w:r w:rsidRPr="000352C2">
        <w:rPr>
          <w:sz w:val="28"/>
          <w:szCs w:val="28"/>
        </w:rPr>
        <w:t xml:space="preserve">В соответствии с частью 13 статьи 15.1 </w:t>
      </w:r>
      <w:r w:rsidRPr="000352C2">
        <w:rPr>
          <w:sz w:val="28"/>
          <w:szCs w:val="28"/>
          <w:shd w:val="clear" w:color="auto" w:fill="FFFFFF"/>
        </w:rPr>
        <w:t>Федерального закона от 27 июля 2010 года №</w:t>
      </w:r>
      <w:r>
        <w:rPr>
          <w:sz w:val="28"/>
          <w:szCs w:val="28"/>
          <w:shd w:val="clear" w:color="auto" w:fill="FFFFFF"/>
        </w:rPr>
        <w:t xml:space="preserve"> </w:t>
      </w:r>
      <w:r w:rsidRPr="000352C2">
        <w:rPr>
          <w:sz w:val="28"/>
          <w:szCs w:val="28"/>
          <w:shd w:val="clear" w:color="auto" w:fill="FFFFFF"/>
        </w:rPr>
        <w:t xml:space="preserve">210-ФЗ «Об организации предоставления государственных и муниципальных услуг», </w:t>
      </w:r>
      <w:r w:rsidRPr="000352C2">
        <w:rPr>
          <w:color w:val="000000"/>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r>
        <w:rPr>
          <w:color w:val="000000"/>
          <w:sz w:val="28"/>
          <w:szCs w:val="28"/>
        </w:rPr>
        <w:t xml:space="preserve"> </w:t>
      </w:r>
      <w:r w:rsidRPr="000352C2">
        <w:rPr>
          <w:b/>
          <w:bCs/>
          <w:color w:val="000000"/>
          <w:sz w:val="28"/>
          <w:szCs w:val="28"/>
        </w:rPr>
        <w:t>п</w:t>
      </w:r>
      <w:r>
        <w:rPr>
          <w:b/>
          <w:bCs/>
          <w:color w:val="000000"/>
          <w:sz w:val="28"/>
          <w:szCs w:val="28"/>
        </w:rPr>
        <w:t xml:space="preserve"> </w:t>
      </w:r>
      <w:proofErr w:type="gramStart"/>
      <w:r w:rsidRPr="000352C2">
        <w:rPr>
          <w:b/>
          <w:bCs/>
          <w:color w:val="000000"/>
          <w:sz w:val="28"/>
          <w:szCs w:val="28"/>
        </w:rPr>
        <w:t>о</w:t>
      </w:r>
      <w:proofErr w:type="gramEnd"/>
      <w:r>
        <w:rPr>
          <w:b/>
          <w:bCs/>
          <w:color w:val="000000"/>
          <w:sz w:val="28"/>
          <w:szCs w:val="28"/>
        </w:rPr>
        <w:t xml:space="preserve"> </w:t>
      </w:r>
      <w:r w:rsidRPr="000352C2">
        <w:rPr>
          <w:b/>
          <w:bCs/>
          <w:color w:val="000000"/>
          <w:sz w:val="28"/>
          <w:szCs w:val="28"/>
        </w:rPr>
        <w:t>с</w:t>
      </w:r>
      <w:r>
        <w:rPr>
          <w:b/>
          <w:bCs/>
          <w:color w:val="000000"/>
          <w:sz w:val="28"/>
          <w:szCs w:val="28"/>
        </w:rPr>
        <w:t xml:space="preserve"> </w:t>
      </w:r>
      <w:r w:rsidRPr="000352C2">
        <w:rPr>
          <w:b/>
          <w:bCs/>
          <w:color w:val="000000"/>
          <w:sz w:val="28"/>
          <w:szCs w:val="28"/>
        </w:rPr>
        <w:t>т</w:t>
      </w:r>
      <w:r>
        <w:rPr>
          <w:b/>
          <w:bCs/>
          <w:color w:val="000000"/>
          <w:sz w:val="28"/>
          <w:szCs w:val="28"/>
        </w:rPr>
        <w:t xml:space="preserve"> </w:t>
      </w:r>
      <w:r w:rsidRPr="000352C2">
        <w:rPr>
          <w:b/>
          <w:bCs/>
          <w:color w:val="000000"/>
          <w:sz w:val="28"/>
          <w:szCs w:val="28"/>
        </w:rPr>
        <w:t>а</w:t>
      </w:r>
      <w:r>
        <w:rPr>
          <w:b/>
          <w:bCs/>
          <w:color w:val="000000"/>
          <w:sz w:val="28"/>
          <w:szCs w:val="28"/>
        </w:rPr>
        <w:t xml:space="preserve"> </w:t>
      </w:r>
      <w:proofErr w:type="spellStart"/>
      <w:r w:rsidRPr="000352C2">
        <w:rPr>
          <w:b/>
          <w:bCs/>
          <w:color w:val="000000"/>
          <w:sz w:val="28"/>
          <w:szCs w:val="28"/>
        </w:rPr>
        <w:t>н</w:t>
      </w:r>
      <w:proofErr w:type="spellEnd"/>
      <w:r>
        <w:rPr>
          <w:b/>
          <w:bCs/>
          <w:color w:val="000000"/>
          <w:sz w:val="28"/>
          <w:szCs w:val="28"/>
        </w:rPr>
        <w:t xml:space="preserve"> </w:t>
      </w:r>
      <w:r w:rsidRPr="000352C2">
        <w:rPr>
          <w:b/>
          <w:bCs/>
          <w:color w:val="000000"/>
          <w:sz w:val="28"/>
          <w:szCs w:val="28"/>
        </w:rPr>
        <w:t>о</w:t>
      </w:r>
      <w:r>
        <w:rPr>
          <w:b/>
          <w:bCs/>
          <w:color w:val="000000"/>
          <w:sz w:val="28"/>
          <w:szCs w:val="28"/>
        </w:rPr>
        <w:t xml:space="preserve"> </w:t>
      </w:r>
      <w:r w:rsidRPr="000352C2">
        <w:rPr>
          <w:b/>
          <w:bCs/>
          <w:color w:val="000000"/>
          <w:sz w:val="28"/>
          <w:szCs w:val="28"/>
        </w:rPr>
        <w:t>в</w:t>
      </w:r>
      <w:r>
        <w:rPr>
          <w:b/>
          <w:bCs/>
          <w:color w:val="000000"/>
          <w:sz w:val="28"/>
          <w:szCs w:val="28"/>
        </w:rPr>
        <w:t xml:space="preserve"> </w:t>
      </w:r>
      <w:r w:rsidRPr="000352C2">
        <w:rPr>
          <w:b/>
          <w:bCs/>
          <w:color w:val="000000"/>
          <w:sz w:val="28"/>
          <w:szCs w:val="28"/>
        </w:rPr>
        <w:t>л</w:t>
      </w:r>
      <w:r>
        <w:rPr>
          <w:b/>
          <w:bCs/>
          <w:color w:val="000000"/>
          <w:sz w:val="28"/>
          <w:szCs w:val="28"/>
        </w:rPr>
        <w:t xml:space="preserve"> </w:t>
      </w:r>
      <w:r w:rsidRPr="000352C2">
        <w:rPr>
          <w:b/>
          <w:bCs/>
          <w:color w:val="000000"/>
          <w:sz w:val="28"/>
          <w:szCs w:val="28"/>
        </w:rPr>
        <w:t>я</w:t>
      </w:r>
      <w:r>
        <w:rPr>
          <w:b/>
          <w:bCs/>
          <w:color w:val="000000"/>
          <w:sz w:val="28"/>
          <w:szCs w:val="28"/>
        </w:rPr>
        <w:t xml:space="preserve"> </w:t>
      </w:r>
      <w:r w:rsidRPr="000352C2">
        <w:rPr>
          <w:b/>
          <w:bCs/>
          <w:color w:val="000000"/>
          <w:sz w:val="28"/>
          <w:szCs w:val="28"/>
        </w:rPr>
        <w:t>е</w:t>
      </w:r>
      <w:r>
        <w:rPr>
          <w:b/>
          <w:bCs/>
          <w:color w:val="000000"/>
          <w:sz w:val="28"/>
          <w:szCs w:val="28"/>
        </w:rPr>
        <w:t xml:space="preserve"> </w:t>
      </w:r>
      <w:r w:rsidRPr="000352C2">
        <w:rPr>
          <w:b/>
          <w:bCs/>
          <w:color w:val="000000"/>
          <w:sz w:val="28"/>
          <w:szCs w:val="28"/>
        </w:rPr>
        <w:t>т</w:t>
      </w:r>
      <w:r w:rsidRPr="000352C2">
        <w:rPr>
          <w:bCs/>
          <w:color w:val="000000"/>
          <w:sz w:val="28"/>
          <w:szCs w:val="28"/>
        </w:rPr>
        <w:t>:</w:t>
      </w:r>
    </w:p>
    <w:p w:rsidR="00600928" w:rsidRPr="000352C2" w:rsidRDefault="00600928" w:rsidP="00600928">
      <w:pPr>
        <w:jc w:val="both"/>
        <w:rPr>
          <w:sz w:val="28"/>
          <w:szCs w:val="28"/>
        </w:rPr>
      </w:pPr>
      <w:r w:rsidRPr="000352C2">
        <w:rPr>
          <w:color w:val="000000"/>
          <w:sz w:val="28"/>
          <w:szCs w:val="28"/>
        </w:rPr>
        <w:br/>
        <w:t xml:space="preserve">          1.</w:t>
      </w:r>
      <w:r>
        <w:rPr>
          <w:color w:val="000000"/>
          <w:sz w:val="28"/>
          <w:szCs w:val="28"/>
        </w:rPr>
        <w:t xml:space="preserve"> </w:t>
      </w:r>
      <w:r w:rsidRPr="000352C2">
        <w:rPr>
          <w:color w:val="000000"/>
          <w:sz w:val="28"/>
          <w:szCs w:val="28"/>
        </w:rPr>
        <w:t xml:space="preserve">Утвердить </w:t>
      </w:r>
      <w:r w:rsidRPr="000352C2">
        <w:rPr>
          <w:sz w:val="28"/>
          <w:szCs w:val="28"/>
        </w:rPr>
        <w:t>перечень муниципальных услуг</w:t>
      </w:r>
      <w:r w:rsidRPr="000352C2">
        <w:t xml:space="preserve">, </w:t>
      </w:r>
      <w:r w:rsidRPr="000352C2">
        <w:rPr>
          <w:sz w:val="28"/>
          <w:szCs w:val="28"/>
        </w:rPr>
        <w:t>оказываемых муниципальными учреждениями муниципального района «Чернышевский район», предоставление которых в многофункциональных центрах посредством комплексного запроса не осуществляется (прилагается).</w:t>
      </w:r>
    </w:p>
    <w:p w:rsidR="00600928" w:rsidRPr="000352C2" w:rsidRDefault="00600928" w:rsidP="00600928">
      <w:pPr>
        <w:jc w:val="both"/>
        <w:rPr>
          <w:color w:val="000000"/>
          <w:sz w:val="28"/>
          <w:szCs w:val="28"/>
        </w:rPr>
      </w:pPr>
      <w:r w:rsidRPr="000352C2">
        <w:rPr>
          <w:color w:val="000000"/>
          <w:sz w:val="28"/>
          <w:szCs w:val="28"/>
        </w:rPr>
        <w:tab/>
        <w:t>2.</w:t>
      </w:r>
      <w:r>
        <w:rPr>
          <w:color w:val="000000"/>
          <w:sz w:val="28"/>
          <w:szCs w:val="28"/>
        </w:rPr>
        <w:t xml:space="preserve"> </w:t>
      </w:r>
      <w:r w:rsidRPr="000352C2">
        <w:rPr>
          <w:color w:val="000000"/>
          <w:sz w:val="28"/>
          <w:szCs w:val="28"/>
        </w:rPr>
        <w:t xml:space="preserve"> Контроль исполнения настоящего постановления возложить на отдел экономики, труда и инвестиционной политики администрации муниципального района «Чернышевский район».</w:t>
      </w:r>
    </w:p>
    <w:p w:rsidR="00600928" w:rsidRPr="000352C2" w:rsidRDefault="00600928" w:rsidP="00600928">
      <w:pPr>
        <w:pStyle w:val="a8"/>
        <w:spacing w:before="0" w:beforeAutospacing="0" w:after="0" w:afterAutospacing="0"/>
        <w:ind w:firstLine="709"/>
        <w:jc w:val="both"/>
        <w:rPr>
          <w:sz w:val="28"/>
          <w:szCs w:val="28"/>
        </w:rPr>
      </w:pPr>
      <w:r w:rsidRPr="000352C2">
        <w:rPr>
          <w:color w:val="000000"/>
          <w:sz w:val="28"/>
          <w:szCs w:val="28"/>
        </w:rPr>
        <w:t xml:space="preserve">3. </w:t>
      </w:r>
      <w:r w:rsidRPr="000352C2">
        <w:rPr>
          <w:sz w:val="28"/>
          <w:szCs w:val="28"/>
        </w:rPr>
        <w:t xml:space="preserve">Настоящее постановление опубликовать в газете «Наше время» и разместить на официальном сайте </w:t>
      </w:r>
      <w:proofErr w:type="spellStart"/>
      <w:r w:rsidRPr="00600928">
        <w:rPr>
          <w:sz w:val="28"/>
          <w:szCs w:val="28"/>
        </w:rPr>
        <w:t>www.чернышевск</w:t>
      </w:r>
      <w:proofErr w:type="gramStart"/>
      <w:r w:rsidRPr="00600928">
        <w:rPr>
          <w:sz w:val="28"/>
          <w:szCs w:val="28"/>
        </w:rPr>
        <w:t>.з</w:t>
      </w:r>
      <w:proofErr w:type="gramEnd"/>
      <w:r w:rsidRPr="00600928">
        <w:rPr>
          <w:sz w:val="28"/>
          <w:szCs w:val="28"/>
        </w:rPr>
        <w:t>абайкальскийкрай.рф</w:t>
      </w:r>
      <w:proofErr w:type="spellEnd"/>
      <w:r>
        <w:rPr>
          <w:sz w:val="28"/>
          <w:szCs w:val="28"/>
        </w:rPr>
        <w:t xml:space="preserve">, </w:t>
      </w:r>
      <w:r w:rsidRPr="00600928">
        <w:rPr>
          <w:sz w:val="28"/>
          <w:szCs w:val="28"/>
        </w:rPr>
        <w:t>в</w:t>
      </w:r>
      <w:r>
        <w:rPr>
          <w:sz w:val="28"/>
          <w:szCs w:val="28"/>
        </w:rPr>
        <w:t xml:space="preserve"> разделе Документы.</w:t>
      </w:r>
    </w:p>
    <w:p w:rsidR="00600928" w:rsidRPr="0084286E" w:rsidRDefault="00600928" w:rsidP="00600928">
      <w:pPr>
        <w:ind w:firstLine="720"/>
        <w:jc w:val="both"/>
        <w:rPr>
          <w:bCs/>
          <w:sz w:val="28"/>
          <w:szCs w:val="28"/>
        </w:rPr>
      </w:pPr>
      <w:r w:rsidRPr="000352C2">
        <w:rPr>
          <w:sz w:val="28"/>
          <w:szCs w:val="28"/>
        </w:rPr>
        <w:t>4. Настоящие постановление вступает в силу после его официального опубликования</w:t>
      </w:r>
      <w:r w:rsidRPr="000352C2">
        <w:rPr>
          <w:color w:val="000000"/>
          <w:sz w:val="28"/>
          <w:szCs w:val="28"/>
        </w:rPr>
        <w:t xml:space="preserve"> (обнародования).</w:t>
      </w:r>
    </w:p>
    <w:p w:rsidR="00E36B13" w:rsidRDefault="00E36B13" w:rsidP="00203F74">
      <w:pPr>
        <w:pStyle w:val="ab"/>
        <w:ind w:firstLine="709"/>
        <w:jc w:val="both"/>
        <w:rPr>
          <w:bCs/>
          <w:sz w:val="28"/>
          <w:szCs w:val="28"/>
        </w:rPr>
      </w:pPr>
    </w:p>
    <w:p w:rsidR="00D7679A" w:rsidRDefault="00D7679A" w:rsidP="005351C2">
      <w:pPr>
        <w:rPr>
          <w:spacing w:val="-1"/>
          <w:sz w:val="28"/>
          <w:szCs w:val="28"/>
        </w:rPr>
      </w:pPr>
    </w:p>
    <w:p w:rsidR="000B12FB" w:rsidRDefault="000B12F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Default="00600928" w:rsidP="00BD7AC6">
      <w:pPr>
        <w:jc w:val="both"/>
        <w:rPr>
          <w:spacing w:val="-1"/>
          <w:sz w:val="28"/>
          <w:szCs w:val="28"/>
        </w:rPr>
      </w:pPr>
    </w:p>
    <w:p w:rsidR="00600928" w:rsidRPr="00936876" w:rsidRDefault="00600928" w:rsidP="00600928">
      <w:pPr>
        <w:jc w:val="right"/>
        <w:rPr>
          <w:color w:val="000000"/>
        </w:rPr>
      </w:pPr>
      <w:r w:rsidRPr="00936876">
        <w:rPr>
          <w:color w:val="000000"/>
        </w:rPr>
        <w:lastRenderedPageBreak/>
        <w:t>Приложение</w:t>
      </w:r>
    </w:p>
    <w:p w:rsidR="00600928" w:rsidRPr="00936876" w:rsidRDefault="00600928" w:rsidP="00600928">
      <w:pPr>
        <w:jc w:val="right"/>
        <w:rPr>
          <w:color w:val="000000"/>
        </w:rPr>
      </w:pPr>
      <w:r w:rsidRPr="00936876">
        <w:rPr>
          <w:color w:val="000000"/>
        </w:rPr>
        <w:t>к постановлению администрации</w:t>
      </w:r>
    </w:p>
    <w:p w:rsidR="00600928" w:rsidRPr="00936876" w:rsidRDefault="00600928" w:rsidP="00600928">
      <w:pPr>
        <w:jc w:val="right"/>
        <w:rPr>
          <w:color w:val="000000"/>
        </w:rPr>
      </w:pPr>
      <w:r w:rsidRPr="00936876">
        <w:rPr>
          <w:color w:val="000000"/>
        </w:rPr>
        <w:t>МР «Чернышевский район»</w:t>
      </w:r>
    </w:p>
    <w:p w:rsidR="00600928" w:rsidRPr="00F52D4A" w:rsidRDefault="00600928" w:rsidP="00600928">
      <w:pPr>
        <w:jc w:val="right"/>
      </w:pPr>
      <w:bookmarkStart w:id="0" w:name="_GoBack"/>
      <w:bookmarkEnd w:id="0"/>
      <w:r>
        <w:t>о</w:t>
      </w:r>
      <w:r w:rsidRPr="00F52D4A">
        <w:t>т</w:t>
      </w:r>
      <w:r>
        <w:t xml:space="preserve"> 13 июня 2018</w:t>
      </w:r>
      <w:r w:rsidRPr="00F52D4A">
        <w:t xml:space="preserve"> года № </w:t>
      </w:r>
      <w:r>
        <w:t>286</w:t>
      </w:r>
    </w:p>
    <w:p w:rsidR="00600928" w:rsidRDefault="00600928" w:rsidP="00600928">
      <w:pPr>
        <w:jc w:val="center"/>
        <w:rPr>
          <w:b/>
          <w:sz w:val="28"/>
          <w:szCs w:val="28"/>
        </w:rPr>
      </w:pPr>
    </w:p>
    <w:p w:rsidR="00600928" w:rsidRDefault="00600928" w:rsidP="00600928">
      <w:pPr>
        <w:jc w:val="center"/>
        <w:rPr>
          <w:b/>
          <w:sz w:val="28"/>
          <w:szCs w:val="28"/>
        </w:rPr>
      </w:pPr>
      <w:r>
        <w:rPr>
          <w:b/>
          <w:sz w:val="28"/>
          <w:szCs w:val="28"/>
        </w:rPr>
        <w:t>П</w:t>
      </w:r>
      <w:r w:rsidRPr="00F81DD1">
        <w:rPr>
          <w:b/>
          <w:sz w:val="28"/>
          <w:szCs w:val="28"/>
        </w:rPr>
        <w:t>ереч</w:t>
      </w:r>
      <w:r>
        <w:rPr>
          <w:b/>
          <w:sz w:val="28"/>
          <w:szCs w:val="28"/>
        </w:rPr>
        <w:t>е</w:t>
      </w:r>
      <w:r w:rsidRPr="00F81DD1">
        <w:rPr>
          <w:b/>
          <w:sz w:val="28"/>
          <w:szCs w:val="28"/>
        </w:rPr>
        <w:t>н</w:t>
      </w:r>
      <w:r>
        <w:rPr>
          <w:b/>
          <w:sz w:val="28"/>
          <w:szCs w:val="28"/>
        </w:rPr>
        <w:t>ь</w:t>
      </w:r>
      <w:r w:rsidRPr="00F81DD1">
        <w:rPr>
          <w:b/>
          <w:sz w:val="28"/>
          <w:szCs w:val="28"/>
        </w:rPr>
        <w:t xml:space="preserve"> муниципальных услуг</w:t>
      </w:r>
      <w:r w:rsidRPr="00F81DD1">
        <w:t xml:space="preserve">, </w:t>
      </w:r>
      <w:r w:rsidRPr="00F81DD1">
        <w:rPr>
          <w:b/>
          <w:sz w:val="28"/>
          <w:szCs w:val="28"/>
        </w:rPr>
        <w:t>оказываемых муниципальными учреждениями муниципального района «Чернышевский район»,</w:t>
      </w:r>
      <w:r>
        <w:rPr>
          <w:b/>
          <w:sz w:val="28"/>
          <w:szCs w:val="28"/>
        </w:rPr>
        <w:t xml:space="preserve"> </w:t>
      </w:r>
      <w:r w:rsidRPr="00F81DD1">
        <w:rPr>
          <w:b/>
          <w:sz w:val="28"/>
          <w:szCs w:val="28"/>
        </w:rPr>
        <w:t>предоставление которых в многофункциональных центрах посредством комплексного запроса не осуществляется</w:t>
      </w:r>
    </w:p>
    <w:p w:rsidR="00600928" w:rsidRDefault="00600928" w:rsidP="00600928">
      <w:pPr>
        <w:jc w:val="center"/>
        <w:rPr>
          <w:b/>
          <w:sz w:val="28"/>
          <w:szCs w:val="28"/>
        </w:rPr>
      </w:pPr>
    </w:p>
    <w:tbl>
      <w:tblPr>
        <w:tblStyle w:val="a4"/>
        <w:tblW w:w="5000" w:type="pct"/>
        <w:tblLook w:val="04A0"/>
      </w:tblPr>
      <w:tblGrid>
        <w:gridCol w:w="1249"/>
        <w:gridCol w:w="8463"/>
      </w:tblGrid>
      <w:tr w:rsidR="00600928" w:rsidRPr="004C494A" w:rsidTr="00BF7C0A">
        <w:trPr>
          <w:trHeight w:val="114"/>
        </w:trPr>
        <w:tc>
          <w:tcPr>
            <w:tcW w:w="643" w:type="pct"/>
          </w:tcPr>
          <w:p w:rsidR="00600928" w:rsidRPr="007416C9" w:rsidRDefault="00600928" w:rsidP="00BF7C0A">
            <w:pPr>
              <w:widowControl w:val="0"/>
              <w:autoSpaceDE w:val="0"/>
              <w:autoSpaceDN w:val="0"/>
              <w:adjustRightInd w:val="0"/>
              <w:jc w:val="center"/>
              <w:rPr>
                <w:b/>
                <w:bCs/>
                <w:sz w:val="26"/>
                <w:szCs w:val="26"/>
              </w:rPr>
            </w:pPr>
            <w:r w:rsidRPr="007416C9">
              <w:rPr>
                <w:b/>
                <w:bCs/>
                <w:sz w:val="26"/>
                <w:szCs w:val="26"/>
              </w:rPr>
              <w:t>№</w:t>
            </w:r>
          </w:p>
          <w:p w:rsidR="00600928" w:rsidRPr="007416C9" w:rsidRDefault="00600928" w:rsidP="00BF7C0A">
            <w:pPr>
              <w:widowControl w:val="0"/>
              <w:autoSpaceDE w:val="0"/>
              <w:autoSpaceDN w:val="0"/>
              <w:adjustRightInd w:val="0"/>
              <w:jc w:val="center"/>
              <w:rPr>
                <w:bCs/>
                <w:sz w:val="26"/>
                <w:szCs w:val="26"/>
              </w:rPr>
            </w:pPr>
            <w:r w:rsidRPr="007416C9">
              <w:rPr>
                <w:b/>
                <w:bCs/>
                <w:sz w:val="26"/>
                <w:szCs w:val="26"/>
              </w:rPr>
              <w:t>п/п</w:t>
            </w:r>
          </w:p>
        </w:tc>
        <w:tc>
          <w:tcPr>
            <w:tcW w:w="4357" w:type="pct"/>
          </w:tcPr>
          <w:p w:rsidR="00600928" w:rsidRPr="007416C9" w:rsidRDefault="00600928" w:rsidP="00BF7C0A">
            <w:pPr>
              <w:widowControl w:val="0"/>
              <w:autoSpaceDE w:val="0"/>
              <w:autoSpaceDN w:val="0"/>
              <w:adjustRightInd w:val="0"/>
              <w:jc w:val="center"/>
              <w:rPr>
                <w:bCs/>
                <w:color w:val="000000"/>
                <w:sz w:val="26"/>
                <w:szCs w:val="26"/>
              </w:rPr>
            </w:pPr>
            <w:r w:rsidRPr="007416C9">
              <w:rPr>
                <w:b/>
                <w:bCs/>
                <w:color w:val="000000"/>
                <w:sz w:val="26"/>
                <w:szCs w:val="26"/>
              </w:rPr>
              <w:t>Наименование муниципальной услуги</w:t>
            </w:r>
          </w:p>
        </w:tc>
      </w:tr>
      <w:tr w:rsidR="00600928" w:rsidRPr="007416C9" w:rsidTr="00BF7C0A">
        <w:trPr>
          <w:trHeight w:val="114"/>
        </w:trPr>
        <w:tc>
          <w:tcPr>
            <w:tcW w:w="643" w:type="pct"/>
          </w:tcPr>
          <w:p w:rsidR="00600928" w:rsidRPr="007416C9" w:rsidRDefault="00600928" w:rsidP="00BF7C0A">
            <w:pPr>
              <w:widowControl w:val="0"/>
              <w:autoSpaceDE w:val="0"/>
              <w:autoSpaceDN w:val="0"/>
              <w:adjustRightInd w:val="0"/>
              <w:jc w:val="center"/>
              <w:rPr>
                <w:bCs/>
                <w:sz w:val="26"/>
                <w:szCs w:val="26"/>
              </w:rPr>
            </w:pPr>
            <w:r w:rsidRPr="007416C9">
              <w:rPr>
                <w:bCs/>
                <w:sz w:val="26"/>
                <w:szCs w:val="26"/>
              </w:rPr>
              <w:t>1</w:t>
            </w:r>
          </w:p>
        </w:tc>
        <w:tc>
          <w:tcPr>
            <w:tcW w:w="4357" w:type="pct"/>
          </w:tcPr>
          <w:p w:rsidR="00600928" w:rsidRPr="007416C9" w:rsidRDefault="00600928" w:rsidP="00BF7C0A">
            <w:pPr>
              <w:widowControl w:val="0"/>
              <w:autoSpaceDE w:val="0"/>
              <w:autoSpaceDN w:val="0"/>
              <w:adjustRightInd w:val="0"/>
              <w:jc w:val="center"/>
              <w:rPr>
                <w:bCs/>
                <w:color w:val="000000"/>
                <w:sz w:val="26"/>
                <w:szCs w:val="26"/>
              </w:rPr>
            </w:pPr>
            <w:r w:rsidRPr="007416C9">
              <w:rPr>
                <w:bCs/>
                <w:color w:val="000000"/>
                <w:sz w:val="26"/>
                <w:szCs w:val="26"/>
              </w:rPr>
              <w:t>2</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1</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документов для исследователей в читальный зал муниципального архива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2</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 xml:space="preserve">Исполнение запросов социально-правового и тематического характера юридических и физических лиц </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3</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4</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 xml:space="preserve">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5</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6</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Продление срока действия разрешения на строительство объекта капитального строительства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7</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градостроительного плана земельного участка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8</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разрешения на условно разрешенный вид использования земельного участка или объекта капитального строительства</w:t>
            </w:r>
          </w:p>
        </w:tc>
      </w:tr>
      <w:tr w:rsidR="00600928" w:rsidRPr="00895851" w:rsidTr="00BF7C0A">
        <w:tc>
          <w:tcPr>
            <w:tcW w:w="643" w:type="pct"/>
          </w:tcPr>
          <w:p w:rsidR="00600928" w:rsidRPr="005769EA" w:rsidRDefault="00600928" w:rsidP="00BF7C0A">
            <w:pPr>
              <w:widowControl w:val="0"/>
              <w:autoSpaceDE w:val="0"/>
              <w:autoSpaceDN w:val="0"/>
              <w:adjustRightInd w:val="0"/>
              <w:jc w:val="center"/>
              <w:rPr>
                <w:sz w:val="28"/>
                <w:szCs w:val="28"/>
              </w:rPr>
            </w:pPr>
            <w:r>
              <w:rPr>
                <w:sz w:val="28"/>
                <w:szCs w:val="28"/>
              </w:rPr>
              <w:t>9</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lang w:val="en-US"/>
              </w:rPr>
            </w:pPr>
            <w:r w:rsidRPr="003F0780">
              <w:rPr>
                <w:sz w:val="28"/>
                <w:szCs w:val="28"/>
              </w:rPr>
              <w:t>1</w:t>
            </w:r>
            <w:r>
              <w:rPr>
                <w:sz w:val="28"/>
                <w:szCs w:val="28"/>
              </w:rPr>
              <w:t>0</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разрешений на установку и эксплуатацию рекламных конструкций на соответствующей территории</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lang w:val="en-US"/>
              </w:rPr>
            </w:pPr>
            <w:r w:rsidRPr="003F0780">
              <w:rPr>
                <w:sz w:val="28"/>
                <w:szCs w:val="28"/>
              </w:rPr>
              <w:t>1</w:t>
            </w:r>
            <w:r>
              <w:rPr>
                <w:sz w:val="28"/>
                <w:szCs w:val="28"/>
              </w:rPr>
              <w:t>1</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lang w:val="en-US"/>
              </w:rPr>
            </w:pPr>
            <w:r w:rsidRPr="003F0780">
              <w:rPr>
                <w:sz w:val="28"/>
                <w:szCs w:val="28"/>
              </w:rPr>
              <w:t>1</w:t>
            </w:r>
            <w:r>
              <w:rPr>
                <w:sz w:val="28"/>
                <w:szCs w:val="28"/>
              </w:rPr>
              <w:t>2</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 xml:space="preserve">Прием документов, необходимых для согласования перевода жилого помещения в </w:t>
            </w:r>
            <w:proofErr w:type="gramStart"/>
            <w:r w:rsidRPr="000F584B">
              <w:rPr>
                <w:sz w:val="28"/>
                <w:szCs w:val="28"/>
              </w:rPr>
              <w:t>нежилое</w:t>
            </w:r>
            <w:proofErr w:type="gramEnd"/>
            <w:r w:rsidRPr="000F584B">
              <w:rPr>
                <w:sz w:val="28"/>
                <w:szCs w:val="28"/>
              </w:rPr>
              <w:t xml:space="preserve"> или нежилого помещения в жилое, а также выдача соответствующих решений о переводе или об отказе в переводе</w:t>
            </w:r>
          </w:p>
        </w:tc>
      </w:tr>
      <w:tr w:rsidR="00600928" w:rsidRPr="00895851" w:rsidTr="00BF7C0A">
        <w:tc>
          <w:tcPr>
            <w:tcW w:w="643" w:type="pct"/>
          </w:tcPr>
          <w:p w:rsidR="00600928" w:rsidRPr="005769EA" w:rsidRDefault="00600928" w:rsidP="00BF7C0A">
            <w:pPr>
              <w:widowControl w:val="0"/>
              <w:autoSpaceDE w:val="0"/>
              <w:autoSpaceDN w:val="0"/>
              <w:adjustRightInd w:val="0"/>
              <w:jc w:val="center"/>
              <w:rPr>
                <w:sz w:val="28"/>
                <w:szCs w:val="28"/>
              </w:rPr>
            </w:pPr>
            <w:r w:rsidRPr="003F0780">
              <w:rPr>
                <w:sz w:val="28"/>
                <w:szCs w:val="28"/>
                <w:lang w:val="en-US"/>
              </w:rPr>
              <w:t>1</w:t>
            </w:r>
            <w:r>
              <w:rPr>
                <w:sz w:val="28"/>
                <w:szCs w:val="28"/>
              </w:rPr>
              <w:t>3</w:t>
            </w:r>
          </w:p>
        </w:tc>
        <w:tc>
          <w:tcPr>
            <w:tcW w:w="4357" w:type="pct"/>
          </w:tcPr>
          <w:p w:rsidR="00600928" w:rsidRPr="000F584B" w:rsidRDefault="00600928" w:rsidP="00BF7C0A">
            <w:pPr>
              <w:rPr>
                <w:sz w:val="28"/>
                <w:szCs w:val="28"/>
              </w:rPr>
            </w:pPr>
            <w:r w:rsidRPr="000F584B">
              <w:rPr>
                <w:sz w:val="28"/>
                <w:szCs w:val="28"/>
              </w:rPr>
              <w:t>Утверждение схемы расположения земельного участка или земельных участков на кадастровом плане территории</w:t>
            </w:r>
          </w:p>
        </w:tc>
      </w:tr>
      <w:tr w:rsidR="00600928" w:rsidRPr="00895851" w:rsidTr="00BF7C0A">
        <w:tc>
          <w:tcPr>
            <w:tcW w:w="643" w:type="pct"/>
          </w:tcPr>
          <w:p w:rsidR="00600928" w:rsidRPr="005769EA" w:rsidRDefault="00600928" w:rsidP="00BF7C0A">
            <w:pPr>
              <w:widowControl w:val="0"/>
              <w:autoSpaceDE w:val="0"/>
              <w:autoSpaceDN w:val="0"/>
              <w:adjustRightInd w:val="0"/>
              <w:jc w:val="center"/>
              <w:rPr>
                <w:sz w:val="28"/>
                <w:szCs w:val="28"/>
              </w:rPr>
            </w:pPr>
            <w:r w:rsidRPr="003F0780">
              <w:rPr>
                <w:sz w:val="28"/>
                <w:szCs w:val="28"/>
                <w:lang w:val="en-US"/>
              </w:rPr>
              <w:lastRenderedPageBreak/>
              <w:t>1</w:t>
            </w:r>
            <w:r>
              <w:rPr>
                <w:sz w:val="28"/>
                <w:szCs w:val="28"/>
              </w:rPr>
              <w:t>4</w:t>
            </w:r>
          </w:p>
        </w:tc>
        <w:tc>
          <w:tcPr>
            <w:tcW w:w="4357" w:type="pct"/>
          </w:tcPr>
          <w:p w:rsidR="00600928" w:rsidRPr="000F584B" w:rsidRDefault="00600928" w:rsidP="00BF7C0A">
            <w:pPr>
              <w:rPr>
                <w:sz w:val="28"/>
                <w:szCs w:val="28"/>
              </w:rPr>
            </w:pPr>
            <w:r w:rsidRPr="000F584B">
              <w:rPr>
                <w:sz w:val="28"/>
                <w:szCs w:val="28"/>
              </w:rPr>
              <w:t>Предварительное согласование предоставления земельных участков, находящихся в собственности</w:t>
            </w:r>
            <w:r w:rsidRPr="000F584B">
              <w:rPr>
                <w:bCs/>
                <w:sz w:val="28"/>
                <w:szCs w:val="28"/>
              </w:rPr>
              <w:t xml:space="preserve"> муниципального района «Чернышевский район»</w:t>
            </w:r>
            <w:r w:rsidRPr="000F584B">
              <w:rPr>
                <w:sz w:val="28"/>
                <w:szCs w:val="28"/>
              </w:rPr>
              <w:t>, и земельных участков, государственная собственность на которые не разграничена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1</w:t>
            </w:r>
            <w:r>
              <w:rPr>
                <w:sz w:val="28"/>
                <w:szCs w:val="28"/>
              </w:rPr>
              <w:t>5</w:t>
            </w:r>
          </w:p>
        </w:tc>
        <w:tc>
          <w:tcPr>
            <w:tcW w:w="4357" w:type="pct"/>
          </w:tcPr>
          <w:p w:rsidR="00600928" w:rsidRPr="000F584B" w:rsidRDefault="00600928" w:rsidP="00BF7C0A">
            <w:pPr>
              <w:rPr>
                <w:sz w:val="28"/>
                <w:szCs w:val="28"/>
              </w:rPr>
            </w:pPr>
            <w:r w:rsidRPr="000F584B">
              <w:rPr>
                <w:bCs/>
                <w:spacing w:val="-7"/>
                <w:sz w:val="28"/>
                <w:szCs w:val="28"/>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16</w:t>
            </w:r>
          </w:p>
        </w:tc>
        <w:tc>
          <w:tcPr>
            <w:tcW w:w="4357" w:type="pct"/>
          </w:tcPr>
          <w:p w:rsidR="00600928" w:rsidRPr="000F584B" w:rsidRDefault="00600928" w:rsidP="00BF7C0A">
            <w:pPr>
              <w:rPr>
                <w:sz w:val="28"/>
                <w:szCs w:val="28"/>
              </w:rPr>
            </w:pPr>
            <w:r w:rsidRPr="000F584B">
              <w:rPr>
                <w:rFonts w:eastAsia="Calibri"/>
                <w:sz w:val="28"/>
                <w:szCs w:val="28"/>
              </w:rPr>
              <w:t xml:space="preserve">Бесплатное предоставление в собственность  гражданам земельных участков, находящихся в  собственности </w:t>
            </w:r>
            <w:r w:rsidRPr="000F584B">
              <w:rPr>
                <w:sz w:val="28"/>
                <w:szCs w:val="28"/>
              </w:rPr>
              <w:t>муниципального района «Чернышевский район»</w:t>
            </w:r>
            <w:r w:rsidRPr="000F584B">
              <w:rPr>
                <w:rFonts w:eastAsia="Calibri"/>
                <w:sz w:val="28"/>
                <w:szCs w:val="28"/>
              </w:rPr>
              <w:t>, и земельных участков, государственная собственность на которые не разграничена, для индивидуального жилищного строительства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17</w:t>
            </w:r>
          </w:p>
        </w:tc>
        <w:tc>
          <w:tcPr>
            <w:tcW w:w="4357" w:type="pct"/>
          </w:tcPr>
          <w:p w:rsidR="00600928" w:rsidRPr="000F584B" w:rsidRDefault="00600928" w:rsidP="00BF7C0A">
            <w:pPr>
              <w:rPr>
                <w:sz w:val="28"/>
                <w:szCs w:val="28"/>
              </w:rPr>
            </w:pPr>
            <w:r w:rsidRPr="000F584B">
              <w:rPr>
                <w:rFonts w:eastAsia="Calibri"/>
                <w:bCs/>
                <w:sz w:val="28"/>
                <w:szCs w:val="28"/>
              </w:rPr>
              <w:t xml:space="preserve">Заключение соглашения об установлении сервитута в отношении земельных участков, находящихся </w:t>
            </w:r>
            <w:r w:rsidRPr="000F584B">
              <w:rPr>
                <w:bCs/>
                <w:sz w:val="28"/>
                <w:szCs w:val="28"/>
              </w:rPr>
              <w:t>в муниципальной собственности «Чернышевский район», и земельных участков, государственная собственность на которые не разграничена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18</w:t>
            </w:r>
          </w:p>
        </w:tc>
        <w:tc>
          <w:tcPr>
            <w:tcW w:w="4357" w:type="pct"/>
          </w:tcPr>
          <w:p w:rsidR="00600928" w:rsidRPr="000F584B" w:rsidRDefault="00600928" w:rsidP="00BF7C0A">
            <w:pPr>
              <w:rPr>
                <w:sz w:val="28"/>
                <w:szCs w:val="28"/>
              </w:rPr>
            </w:pPr>
            <w:proofErr w:type="gramStart"/>
            <w:r w:rsidRPr="000F584B">
              <w:rPr>
                <w:sz w:val="28"/>
                <w:szCs w:val="28"/>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roofErr w:type="gramEnd"/>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19</w:t>
            </w:r>
          </w:p>
        </w:tc>
        <w:tc>
          <w:tcPr>
            <w:tcW w:w="4357" w:type="pct"/>
          </w:tcPr>
          <w:p w:rsidR="00600928" w:rsidRPr="00600928" w:rsidRDefault="00600928" w:rsidP="00BF7C0A">
            <w:pPr>
              <w:rPr>
                <w:b/>
                <w:sz w:val="28"/>
                <w:szCs w:val="28"/>
              </w:rPr>
            </w:pPr>
            <w:r w:rsidRPr="00600928">
              <w:rPr>
                <w:rStyle w:val="affc"/>
                <w:b w:val="0"/>
                <w:color w:val="auto"/>
                <w:sz w:val="28"/>
                <w:szCs w:val="28"/>
              </w:rPr>
              <w:t>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2</w:t>
            </w:r>
            <w:r>
              <w:rPr>
                <w:sz w:val="28"/>
                <w:szCs w:val="28"/>
              </w:rPr>
              <w:t>0</w:t>
            </w:r>
          </w:p>
        </w:tc>
        <w:tc>
          <w:tcPr>
            <w:tcW w:w="4357" w:type="pct"/>
          </w:tcPr>
          <w:p w:rsidR="00600928" w:rsidRPr="00600928" w:rsidRDefault="00600928" w:rsidP="00BF7C0A">
            <w:pPr>
              <w:rPr>
                <w:b/>
                <w:sz w:val="28"/>
                <w:szCs w:val="28"/>
              </w:rPr>
            </w:pPr>
            <w:r w:rsidRPr="00600928">
              <w:rPr>
                <w:rStyle w:val="affc"/>
                <w:rFonts w:eastAsiaTheme="majorEastAsia"/>
                <w:b w:val="0"/>
                <w:color w:val="auto"/>
                <w:sz w:val="28"/>
                <w:szCs w:val="28"/>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2</w:t>
            </w:r>
            <w:r>
              <w:rPr>
                <w:sz w:val="28"/>
                <w:szCs w:val="28"/>
              </w:rPr>
              <w:t>1</w:t>
            </w:r>
          </w:p>
        </w:tc>
        <w:tc>
          <w:tcPr>
            <w:tcW w:w="4357" w:type="pct"/>
          </w:tcPr>
          <w:p w:rsidR="00600928" w:rsidRPr="000F584B" w:rsidRDefault="00600928" w:rsidP="00BF7C0A">
            <w:pPr>
              <w:rPr>
                <w:sz w:val="28"/>
                <w:szCs w:val="28"/>
              </w:rPr>
            </w:pPr>
            <w:r w:rsidRPr="000F584B">
              <w:rPr>
                <w:sz w:val="28"/>
                <w:szCs w:val="28"/>
              </w:rPr>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sidRPr="003F0780">
              <w:rPr>
                <w:sz w:val="28"/>
                <w:szCs w:val="28"/>
              </w:rPr>
              <w:t>2</w:t>
            </w:r>
            <w:r>
              <w:rPr>
                <w:sz w:val="28"/>
                <w:szCs w:val="28"/>
              </w:rPr>
              <w:t>2</w:t>
            </w:r>
          </w:p>
        </w:tc>
        <w:tc>
          <w:tcPr>
            <w:tcW w:w="4357" w:type="pct"/>
          </w:tcPr>
          <w:p w:rsidR="00600928" w:rsidRPr="000F584B" w:rsidRDefault="00600928" w:rsidP="00BF7C0A">
            <w:pPr>
              <w:rPr>
                <w:sz w:val="28"/>
                <w:szCs w:val="28"/>
              </w:rPr>
            </w:pPr>
            <w:r w:rsidRPr="000F584B">
              <w:rPr>
                <w:bCs/>
                <w:sz w:val="28"/>
                <w:szCs w:val="28"/>
              </w:rPr>
              <w:t>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23</w:t>
            </w:r>
          </w:p>
        </w:tc>
        <w:tc>
          <w:tcPr>
            <w:tcW w:w="4357" w:type="pct"/>
          </w:tcPr>
          <w:p w:rsidR="00600928" w:rsidRPr="00600928" w:rsidRDefault="00600928" w:rsidP="00BF7C0A">
            <w:pPr>
              <w:rPr>
                <w:b/>
                <w:sz w:val="28"/>
                <w:szCs w:val="28"/>
              </w:rPr>
            </w:pPr>
            <w:r w:rsidRPr="00600928">
              <w:rPr>
                <w:rStyle w:val="affc"/>
                <w:b w:val="0"/>
                <w:color w:val="auto"/>
                <w:sz w:val="28"/>
                <w:szCs w:val="28"/>
              </w:rPr>
              <w:t xml:space="preserve">Подготовка и организация аукциона  по продаже земельного </w:t>
            </w:r>
            <w:r w:rsidRPr="00600928">
              <w:rPr>
                <w:rStyle w:val="affc"/>
                <w:b w:val="0"/>
                <w:color w:val="auto"/>
                <w:sz w:val="28"/>
                <w:szCs w:val="28"/>
              </w:rPr>
              <w:lastRenderedPageBreak/>
              <w:t>участка  или аукциона на право заключения договора аренды земельного участка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lastRenderedPageBreak/>
              <w:t>24</w:t>
            </w:r>
          </w:p>
        </w:tc>
        <w:tc>
          <w:tcPr>
            <w:tcW w:w="4357" w:type="pct"/>
          </w:tcPr>
          <w:p w:rsidR="00600928" w:rsidRPr="00600928" w:rsidRDefault="00600928" w:rsidP="00BF7C0A">
            <w:pPr>
              <w:rPr>
                <w:b/>
                <w:sz w:val="28"/>
                <w:szCs w:val="28"/>
              </w:rPr>
            </w:pPr>
            <w:r w:rsidRPr="00600928">
              <w:rPr>
                <w:rStyle w:val="affc"/>
                <w:b w:val="0"/>
                <w:color w:val="auto"/>
                <w:sz w:val="28"/>
                <w:szCs w:val="28"/>
              </w:rPr>
              <w:t>Проведение аукциона  по продаже земельного участка  или аукциона на право заключения договора аренды земельного участка</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25</w:t>
            </w:r>
          </w:p>
        </w:tc>
        <w:tc>
          <w:tcPr>
            <w:tcW w:w="4357" w:type="pct"/>
          </w:tcPr>
          <w:p w:rsidR="00600928" w:rsidRPr="00600928" w:rsidRDefault="00600928" w:rsidP="00BF7C0A">
            <w:pPr>
              <w:rPr>
                <w:b/>
                <w:sz w:val="28"/>
                <w:szCs w:val="28"/>
              </w:rPr>
            </w:pPr>
            <w:r w:rsidRPr="00600928">
              <w:rPr>
                <w:rStyle w:val="affc"/>
                <w:b w:val="0"/>
                <w:color w:val="auto"/>
                <w:sz w:val="28"/>
                <w:szCs w:val="28"/>
              </w:rPr>
              <w:t>Предоставление информации об объектах недвижимого имущества, находящегося в муниципальной собственности МР «Чернышевский район» и предназначенных для сдачи в аренду</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26</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 xml:space="preserve">Предоставление информации о порядке проведения государственной (итоговой) аттестации </w:t>
            </w:r>
            <w:proofErr w:type="gramStart"/>
            <w:r w:rsidRPr="000F584B">
              <w:rPr>
                <w:sz w:val="28"/>
                <w:szCs w:val="28"/>
              </w:rPr>
              <w:t>обучающихся</w:t>
            </w:r>
            <w:proofErr w:type="gramEnd"/>
            <w:r w:rsidRPr="000F584B">
              <w:rPr>
                <w:sz w:val="28"/>
                <w:szCs w:val="28"/>
              </w:rPr>
              <w:t>, освоивших основные и дополнительные общеобразовательные (за исключением дошкольных) программы</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27</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Предоставление путевок детям в организации (учреждения) отдыха детей, расположенные на территории Забайкальского края</w:t>
            </w:r>
          </w:p>
        </w:tc>
      </w:tr>
      <w:tr w:rsidR="00600928" w:rsidRPr="00895851" w:rsidTr="00BF7C0A">
        <w:trPr>
          <w:trHeight w:val="1304"/>
        </w:trPr>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28</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29</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Предоставление информации о проведении ярмарок, выставок народного творчества, ремесел на территории муниципального образования</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30</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Предоставление доступа к справочно-поисковому аппарату и базам данных муниципальных библиотек</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31</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 xml:space="preserve">Предоставление музейных услуг </w:t>
            </w:r>
          </w:p>
        </w:tc>
      </w:tr>
      <w:tr w:rsidR="00600928" w:rsidRPr="00895851" w:rsidTr="00BF7C0A">
        <w:tc>
          <w:tcPr>
            <w:tcW w:w="643" w:type="pct"/>
          </w:tcPr>
          <w:p w:rsidR="00600928" w:rsidRPr="003F0780" w:rsidRDefault="00600928" w:rsidP="00BF7C0A">
            <w:pPr>
              <w:widowControl w:val="0"/>
              <w:autoSpaceDE w:val="0"/>
              <w:autoSpaceDN w:val="0"/>
              <w:adjustRightInd w:val="0"/>
              <w:jc w:val="center"/>
              <w:rPr>
                <w:sz w:val="28"/>
                <w:szCs w:val="28"/>
              </w:rPr>
            </w:pPr>
            <w:r>
              <w:rPr>
                <w:sz w:val="28"/>
                <w:szCs w:val="28"/>
              </w:rPr>
              <w:t>32</w:t>
            </w:r>
          </w:p>
        </w:tc>
        <w:tc>
          <w:tcPr>
            <w:tcW w:w="4357" w:type="pct"/>
          </w:tcPr>
          <w:p w:rsidR="00600928" w:rsidRPr="000F584B" w:rsidRDefault="00600928" w:rsidP="00BF7C0A">
            <w:pPr>
              <w:widowControl w:val="0"/>
              <w:autoSpaceDE w:val="0"/>
              <w:autoSpaceDN w:val="0"/>
              <w:adjustRightInd w:val="0"/>
              <w:jc w:val="both"/>
              <w:rPr>
                <w:sz w:val="28"/>
                <w:szCs w:val="28"/>
              </w:rPr>
            </w:pPr>
            <w:r w:rsidRPr="000F584B">
              <w:rPr>
                <w:sz w:val="28"/>
                <w:szCs w:val="28"/>
              </w:rPr>
              <w:t>Выдача разрешений на право организации розничного рынка</w:t>
            </w:r>
          </w:p>
        </w:tc>
      </w:tr>
    </w:tbl>
    <w:p w:rsidR="00600928" w:rsidRDefault="00600928" w:rsidP="00600928">
      <w:pPr>
        <w:jc w:val="center"/>
        <w:rPr>
          <w:spacing w:val="-1"/>
          <w:sz w:val="28"/>
          <w:szCs w:val="28"/>
        </w:rPr>
      </w:pPr>
      <w:r>
        <w:rPr>
          <w:spacing w:val="-1"/>
          <w:sz w:val="28"/>
          <w:szCs w:val="28"/>
        </w:rPr>
        <w:t>_______________________</w:t>
      </w:r>
    </w:p>
    <w:sectPr w:rsidR="00600928"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54D99"/>
    <w:rsid w:val="00064445"/>
    <w:rsid w:val="000656E4"/>
    <w:rsid w:val="00080AA9"/>
    <w:rsid w:val="00084614"/>
    <w:rsid w:val="000849A8"/>
    <w:rsid w:val="0009013A"/>
    <w:rsid w:val="000971A2"/>
    <w:rsid w:val="000B12FB"/>
    <w:rsid w:val="000B222A"/>
    <w:rsid w:val="000B58F8"/>
    <w:rsid w:val="000B745F"/>
    <w:rsid w:val="000C641B"/>
    <w:rsid w:val="000C7414"/>
    <w:rsid w:val="000E26B4"/>
    <w:rsid w:val="000E5610"/>
    <w:rsid w:val="000E7E99"/>
    <w:rsid w:val="000F0C1F"/>
    <w:rsid w:val="000F62B0"/>
    <w:rsid w:val="00103568"/>
    <w:rsid w:val="00113499"/>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3F74"/>
    <w:rsid w:val="00204153"/>
    <w:rsid w:val="00204A9E"/>
    <w:rsid w:val="00216A2C"/>
    <w:rsid w:val="00223A6C"/>
    <w:rsid w:val="002273B8"/>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1FB"/>
    <w:rsid w:val="005B68F5"/>
    <w:rsid w:val="005C3C2F"/>
    <w:rsid w:val="005C5D3D"/>
    <w:rsid w:val="005C72FB"/>
    <w:rsid w:val="005D01EE"/>
    <w:rsid w:val="005D764E"/>
    <w:rsid w:val="005E19F7"/>
    <w:rsid w:val="005E66DF"/>
    <w:rsid w:val="005F59AD"/>
    <w:rsid w:val="005F6771"/>
    <w:rsid w:val="005F715E"/>
    <w:rsid w:val="005F7D7B"/>
    <w:rsid w:val="00600928"/>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4789"/>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B3D57"/>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3ED1"/>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uiPriority w:val="99"/>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7559758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2018-06-14T06:14:00Z</cp:lastPrinted>
  <dcterms:created xsi:type="dcterms:W3CDTF">2018-06-14T06:14:00Z</dcterms:created>
  <dcterms:modified xsi:type="dcterms:W3CDTF">2018-06-14T06:14:00Z</dcterms:modified>
</cp:coreProperties>
</file>