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DE3DCD" w:rsidP="00BD7AC6">
      <w:pPr>
        <w:rPr>
          <w:sz w:val="28"/>
        </w:rPr>
      </w:pPr>
      <w:r>
        <w:rPr>
          <w:sz w:val="28"/>
        </w:rPr>
        <w:t>1</w:t>
      </w:r>
      <w:r w:rsidR="009B55CE">
        <w:rPr>
          <w:sz w:val="28"/>
        </w:rPr>
        <w:t xml:space="preserve">0 марта </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F359E7">
        <w:rPr>
          <w:sz w:val="28"/>
        </w:rPr>
        <w:t>1</w:t>
      </w:r>
      <w:r>
        <w:rPr>
          <w:sz w:val="28"/>
        </w:rPr>
        <w:t>4</w:t>
      </w:r>
      <w:r w:rsidR="007F66CC">
        <w:rPr>
          <w:sz w:val="28"/>
        </w:rPr>
        <w:t>1</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7F66CC" w:rsidRPr="007F66CC" w:rsidRDefault="007F66CC" w:rsidP="007F66CC">
      <w:pPr>
        <w:tabs>
          <w:tab w:val="left" w:pos="9639"/>
        </w:tabs>
        <w:ind w:left="-180" w:right="50" w:firstLine="38"/>
        <w:jc w:val="center"/>
        <w:rPr>
          <w:b/>
          <w:sz w:val="28"/>
          <w:szCs w:val="28"/>
        </w:rPr>
      </w:pPr>
      <w:r w:rsidRPr="007F66CC">
        <w:rPr>
          <w:b/>
          <w:sz w:val="28"/>
          <w:szCs w:val="28"/>
        </w:rPr>
        <w:t>Об утверждении комплекса мероприятий («дорожной карты») по внедрению модели персонифицированного финансирования дополнительного образования детей в Чернышевском районе</w:t>
      </w:r>
    </w:p>
    <w:p w:rsidR="007F66CC" w:rsidRDefault="007F66CC" w:rsidP="007F66CC">
      <w:pPr>
        <w:pStyle w:val="ad"/>
        <w:ind w:firstLine="708"/>
        <w:jc w:val="both"/>
        <w:rPr>
          <w:b/>
          <w:sz w:val="28"/>
          <w:szCs w:val="28"/>
        </w:rPr>
      </w:pPr>
    </w:p>
    <w:p w:rsidR="007F66CC" w:rsidRPr="007F66CC" w:rsidRDefault="007F66CC" w:rsidP="007F66CC">
      <w:pPr>
        <w:pStyle w:val="ad"/>
        <w:ind w:firstLine="709"/>
        <w:jc w:val="both"/>
        <w:rPr>
          <w:sz w:val="28"/>
          <w:szCs w:val="28"/>
        </w:rPr>
      </w:pPr>
      <w:r w:rsidRPr="007F66CC">
        <w:rPr>
          <w:sz w:val="28"/>
          <w:szCs w:val="28"/>
        </w:rPr>
        <w:t xml:space="preserve"> В целях реализации регионального проекта «Успех каждого ребенка» (паспорт утвержден Губернатором Забайкальского края от 31 декабря 2019 года № Е2-76-2019/002 в системе ГИИС «Электронный бюджет»), внедрения на территории Забайкальского края Целевой модели дополнительного образования, руководствуясь ст. 25 Устава муниципального района «Чернышевский район», администрация муниципального района «Чернышевский район» </w:t>
      </w:r>
      <w:r>
        <w:rPr>
          <w:sz w:val="28"/>
          <w:szCs w:val="28"/>
        </w:rPr>
        <w:t xml:space="preserve">   </w:t>
      </w:r>
      <w:r w:rsidRPr="007F66CC">
        <w:rPr>
          <w:b/>
          <w:spacing w:val="30"/>
          <w:sz w:val="28"/>
          <w:szCs w:val="28"/>
        </w:rPr>
        <w:t>постановляет</w:t>
      </w:r>
      <w:r w:rsidRPr="007F66CC">
        <w:rPr>
          <w:b/>
          <w:sz w:val="28"/>
          <w:szCs w:val="28"/>
        </w:rPr>
        <w:t>:</w:t>
      </w:r>
    </w:p>
    <w:p w:rsidR="007F66CC" w:rsidRPr="007F66CC" w:rsidRDefault="007F66CC" w:rsidP="007F66CC">
      <w:pPr>
        <w:pStyle w:val="ad"/>
        <w:ind w:firstLine="709"/>
        <w:jc w:val="both"/>
        <w:rPr>
          <w:sz w:val="28"/>
          <w:szCs w:val="28"/>
        </w:rPr>
      </w:pPr>
    </w:p>
    <w:p w:rsidR="007F66CC" w:rsidRPr="007F66CC" w:rsidRDefault="007F66CC" w:rsidP="007F66CC">
      <w:pPr>
        <w:pStyle w:val="ad"/>
        <w:ind w:firstLine="709"/>
        <w:jc w:val="both"/>
        <w:rPr>
          <w:sz w:val="28"/>
          <w:szCs w:val="28"/>
        </w:rPr>
      </w:pPr>
      <w:r>
        <w:rPr>
          <w:sz w:val="28"/>
          <w:szCs w:val="28"/>
        </w:rPr>
        <w:t xml:space="preserve">1. </w:t>
      </w:r>
      <w:r w:rsidRPr="007F66CC">
        <w:rPr>
          <w:sz w:val="28"/>
          <w:szCs w:val="28"/>
        </w:rPr>
        <w:t>Утвердить комплекс мероприятий («дорожную карту») по внедрению модели персонифицированного финансирования дополнительного образования детей в Ч</w:t>
      </w:r>
      <w:r>
        <w:rPr>
          <w:sz w:val="28"/>
          <w:szCs w:val="28"/>
        </w:rPr>
        <w:t>ернышевском районе (прилагается).</w:t>
      </w:r>
    </w:p>
    <w:p w:rsidR="007F66CC" w:rsidRPr="007F66CC" w:rsidRDefault="007F66CC" w:rsidP="007F66CC">
      <w:pPr>
        <w:pStyle w:val="ad"/>
        <w:ind w:firstLine="709"/>
        <w:jc w:val="both"/>
        <w:rPr>
          <w:sz w:val="28"/>
          <w:szCs w:val="28"/>
        </w:rPr>
      </w:pPr>
      <w:r>
        <w:rPr>
          <w:sz w:val="28"/>
          <w:szCs w:val="28"/>
        </w:rPr>
        <w:t xml:space="preserve">2. </w:t>
      </w:r>
      <w:r w:rsidRPr="007F66CC">
        <w:rPr>
          <w:sz w:val="28"/>
          <w:szCs w:val="28"/>
        </w:rPr>
        <w:t>Контроль исполнения настоящего постановления возложить на и.о. заместителя руководителя администрации  муниципального района «Чернышевский район» по социальным в</w:t>
      </w:r>
      <w:r>
        <w:rPr>
          <w:sz w:val="28"/>
          <w:szCs w:val="28"/>
        </w:rPr>
        <w:t xml:space="preserve">опросам </w:t>
      </w:r>
      <w:proofErr w:type="spellStart"/>
      <w:r>
        <w:rPr>
          <w:sz w:val="28"/>
          <w:szCs w:val="28"/>
        </w:rPr>
        <w:t>Корбут</w:t>
      </w:r>
      <w:proofErr w:type="spellEnd"/>
      <w:r>
        <w:rPr>
          <w:sz w:val="28"/>
          <w:szCs w:val="28"/>
        </w:rPr>
        <w:t xml:space="preserve"> Н.М.</w:t>
      </w:r>
    </w:p>
    <w:p w:rsidR="007F66CC" w:rsidRPr="007F66CC" w:rsidRDefault="007F66CC" w:rsidP="007F66CC">
      <w:pPr>
        <w:pStyle w:val="ad"/>
        <w:ind w:firstLine="709"/>
        <w:jc w:val="both"/>
        <w:rPr>
          <w:sz w:val="28"/>
          <w:szCs w:val="28"/>
        </w:rPr>
      </w:pPr>
      <w:r>
        <w:rPr>
          <w:sz w:val="28"/>
          <w:szCs w:val="28"/>
        </w:rPr>
        <w:t xml:space="preserve">3. </w:t>
      </w:r>
      <w:r w:rsidRPr="007F66CC">
        <w:rPr>
          <w:sz w:val="28"/>
          <w:szCs w:val="28"/>
        </w:rPr>
        <w:t>Настоящее постановление вступает в силу на следующий день, после дня ег</w:t>
      </w:r>
      <w:r>
        <w:rPr>
          <w:sz w:val="28"/>
          <w:szCs w:val="28"/>
        </w:rPr>
        <w:t>о опубликования (обнародования).</w:t>
      </w:r>
    </w:p>
    <w:p w:rsidR="007F66CC" w:rsidRPr="007F66CC" w:rsidRDefault="007F66CC" w:rsidP="007F66CC">
      <w:pPr>
        <w:pStyle w:val="ad"/>
        <w:ind w:firstLine="709"/>
        <w:jc w:val="both"/>
        <w:rPr>
          <w:sz w:val="28"/>
          <w:szCs w:val="28"/>
        </w:rPr>
      </w:pPr>
      <w:r>
        <w:rPr>
          <w:sz w:val="28"/>
          <w:szCs w:val="28"/>
        </w:rPr>
        <w:t xml:space="preserve">4. </w:t>
      </w:r>
      <w:r w:rsidRPr="007F66CC">
        <w:rPr>
          <w:sz w:val="28"/>
          <w:szCs w:val="28"/>
        </w:rPr>
        <w:t xml:space="preserve">Настоящее постановление разместить на официальном сайте </w:t>
      </w:r>
      <w:hyperlink r:id="rId6" w:history="1">
        <w:r w:rsidRPr="007F66CC">
          <w:rPr>
            <w:rStyle w:val="a7"/>
            <w:color w:val="auto"/>
            <w:sz w:val="28"/>
            <w:szCs w:val="28"/>
            <w:u w:val="none"/>
          </w:rPr>
          <w:t>www.чернышевск.забайкальскийкрай.рф</w:t>
        </w:r>
      </w:hyperlink>
      <w:r w:rsidRPr="007F66CC">
        <w:rPr>
          <w:sz w:val="28"/>
          <w:szCs w:val="28"/>
        </w:rPr>
        <w:t>, в разделе Документы.</w:t>
      </w:r>
    </w:p>
    <w:p w:rsidR="0093628B" w:rsidRDefault="0093628B" w:rsidP="005351C2">
      <w:pPr>
        <w:rPr>
          <w:spacing w:val="-1"/>
          <w:sz w:val="28"/>
          <w:szCs w:val="28"/>
        </w:rPr>
      </w:pPr>
    </w:p>
    <w:p w:rsidR="00766E5D" w:rsidRDefault="00766E5D" w:rsidP="005351C2">
      <w:pPr>
        <w:rPr>
          <w:spacing w:val="-1"/>
          <w:sz w:val="28"/>
          <w:szCs w:val="28"/>
        </w:rPr>
      </w:pPr>
    </w:p>
    <w:p w:rsidR="001F6327" w:rsidRDefault="001F6327" w:rsidP="005351C2">
      <w:pPr>
        <w:rPr>
          <w:spacing w:val="-1"/>
          <w:sz w:val="28"/>
          <w:szCs w:val="28"/>
        </w:rPr>
      </w:pPr>
    </w:p>
    <w:p w:rsidR="00C03530" w:rsidRDefault="001F0B38"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1F0B38">
        <w:rPr>
          <w:spacing w:val="-1"/>
          <w:sz w:val="28"/>
          <w:szCs w:val="28"/>
        </w:rPr>
        <w:t>А</w:t>
      </w:r>
      <w:r w:rsidR="00F359E7">
        <w:rPr>
          <w:spacing w:val="-1"/>
          <w:sz w:val="28"/>
          <w:szCs w:val="28"/>
        </w:rPr>
        <w:t xml:space="preserve">.В. </w:t>
      </w:r>
      <w:r w:rsidR="001F0B38">
        <w:rPr>
          <w:spacing w:val="-1"/>
          <w:sz w:val="28"/>
          <w:szCs w:val="28"/>
        </w:rPr>
        <w:t>Сухано</w:t>
      </w:r>
      <w:r w:rsidR="00F359E7">
        <w:rPr>
          <w:spacing w:val="-1"/>
          <w:sz w:val="28"/>
          <w:szCs w:val="28"/>
        </w:rPr>
        <w:t>в</w:t>
      </w: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pPr>
    </w:p>
    <w:p w:rsidR="007F66CC" w:rsidRDefault="007F66CC" w:rsidP="00BD7AC6">
      <w:pPr>
        <w:jc w:val="both"/>
        <w:rPr>
          <w:spacing w:val="-1"/>
          <w:sz w:val="28"/>
          <w:szCs w:val="28"/>
        </w:rPr>
        <w:sectPr w:rsidR="007F66CC" w:rsidSect="00B91A64">
          <w:pgSz w:w="11906" w:h="16838"/>
          <w:pgMar w:top="993" w:right="567" w:bottom="851" w:left="1843" w:header="709" w:footer="709" w:gutter="0"/>
          <w:cols w:space="708"/>
          <w:docGrid w:linePitch="360"/>
        </w:sectPr>
      </w:pPr>
    </w:p>
    <w:p w:rsidR="007F66CC" w:rsidRDefault="007F66CC" w:rsidP="007F66CC">
      <w:pPr>
        <w:ind w:left="17" w:right="-40" w:firstLine="703"/>
        <w:jc w:val="right"/>
      </w:pPr>
      <w:r w:rsidRPr="00F929C5">
        <w:lastRenderedPageBreak/>
        <w:t xml:space="preserve">Приложение </w:t>
      </w:r>
    </w:p>
    <w:p w:rsidR="007F66CC" w:rsidRPr="00F929C5" w:rsidRDefault="007F66CC" w:rsidP="007F66CC">
      <w:pPr>
        <w:ind w:left="17" w:right="-40" w:firstLine="703"/>
        <w:jc w:val="right"/>
      </w:pPr>
      <w:r w:rsidRPr="00F929C5">
        <w:t>к постановлению</w:t>
      </w:r>
      <w:r>
        <w:t xml:space="preserve"> </w:t>
      </w:r>
      <w:r w:rsidRPr="00F929C5">
        <w:t xml:space="preserve">администрации </w:t>
      </w:r>
    </w:p>
    <w:p w:rsidR="007F66CC" w:rsidRPr="00F929C5" w:rsidRDefault="007F66CC" w:rsidP="007F66CC">
      <w:pPr>
        <w:ind w:left="17" w:right="-40" w:firstLine="703"/>
        <w:jc w:val="right"/>
      </w:pPr>
      <w:r w:rsidRPr="00F929C5">
        <w:t>МР «Чернышевский район»</w:t>
      </w:r>
    </w:p>
    <w:p w:rsidR="007F66CC" w:rsidRPr="00F929C5" w:rsidRDefault="007F66CC" w:rsidP="007F66CC">
      <w:pPr>
        <w:ind w:left="17" w:right="-40" w:firstLine="703"/>
        <w:jc w:val="right"/>
      </w:pPr>
      <w:r w:rsidRPr="00F929C5">
        <w:t xml:space="preserve">от </w:t>
      </w:r>
      <w:r>
        <w:t xml:space="preserve">10 марта </w:t>
      </w:r>
      <w:r w:rsidRPr="00F929C5">
        <w:t xml:space="preserve">2020г. № </w:t>
      </w:r>
      <w:r>
        <w:t>141</w:t>
      </w:r>
    </w:p>
    <w:p w:rsidR="007F66CC" w:rsidRPr="00F929C5" w:rsidRDefault="007F66CC" w:rsidP="007F66CC">
      <w:pPr>
        <w:tabs>
          <w:tab w:val="left" w:pos="993"/>
          <w:tab w:val="left" w:pos="1276"/>
        </w:tabs>
        <w:jc w:val="both"/>
        <w:rPr>
          <w:color w:val="000000"/>
        </w:rPr>
      </w:pPr>
    </w:p>
    <w:p w:rsidR="007F66CC" w:rsidRPr="00F929C5" w:rsidRDefault="007F66CC" w:rsidP="007F66CC">
      <w:pPr>
        <w:tabs>
          <w:tab w:val="left" w:pos="993"/>
          <w:tab w:val="left" w:pos="1276"/>
        </w:tabs>
        <w:jc w:val="center"/>
        <w:rPr>
          <w:b/>
          <w:bCs/>
          <w:caps/>
          <w:color w:val="000000"/>
        </w:rPr>
      </w:pPr>
    </w:p>
    <w:p w:rsidR="007F66CC" w:rsidRPr="00F929C5" w:rsidRDefault="007F66CC" w:rsidP="007F66CC">
      <w:pPr>
        <w:tabs>
          <w:tab w:val="left" w:pos="993"/>
          <w:tab w:val="left" w:pos="1276"/>
        </w:tabs>
        <w:jc w:val="center"/>
        <w:rPr>
          <w:b/>
          <w:bCs/>
          <w:caps/>
          <w:color w:val="000000"/>
        </w:rPr>
      </w:pPr>
      <w:r w:rsidRPr="00F929C5">
        <w:rPr>
          <w:b/>
          <w:bCs/>
          <w:caps/>
          <w:color w:val="000000"/>
        </w:rPr>
        <w:t xml:space="preserve">Комплекс мероприятий </w:t>
      </w:r>
      <w:r>
        <w:rPr>
          <w:b/>
          <w:bCs/>
          <w:color w:val="000000"/>
        </w:rPr>
        <w:t>(</w:t>
      </w:r>
      <w:r w:rsidRPr="00F929C5">
        <w:rPr>
          <w:b/>
          <w:bCs/>
          <w:color w:val="000000"/>
        </w:rPr>
        <w:t>дорожная карта)</w:t>
      </w:r>
    </w:p>
    <w:p w:rsidR="007F66CC" w:rsidRPr="00F929C5" w:rsidRDefault="007F66CC" w:rsidP="007F66CC">
      <w:pPr>
        <w:tabs>
          <w:tab w:val="left" w:pos="993"/>
          <w:tab w:val="left" w:pos="1276"/>
        </w:tabs>
        <w:jc w:val="center"/>
        <w:rPr>
          <w:b/>
          <w:bCs/>
          <w:color w:val="000000"/>
        </w:rPr>
      </w:pPr>
      <w:r w:rsidRPr="00F929C5">
        <w:rPr>
          <w:b/>
          <w:bCs/>
          <w:color w:val="000000"/>
        </w:rPr>
        <w:t xml:space="preserve">по внедрению модели персонифицированного финансирования дополнительного образования детей в </w:t>
      </w:r>
      <w:r>
        <w:rPr>
          <w:b/>
          <w:bCs/>
          <w:color w:val="000000"/>
        </w:rPr>
        <w:t>Чернышевском районе</w:t>
      </w:r>
    </w:p>
    <w:p w:rsidR="007F66CC" w:rsidRPr="00F929C5" w:rsidRDefault="007F66CC" w:rsidP="007F66CC">
      <w:pPr>
        <w:tabs>
          <w:tab w:val="left" w:pos="993"/>
          <w:tab w:val="left" w:pos="1276"/>
        </w:tabs>
        <w:ind w:firstLine="709"/>
        <w:jc w:val="both"/>
      </w:pPr>
    </w:p>
    <w:tbl>
      <w:tblPr>
        <w:tblW w:w="1552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tblPr>
      <w:tblGrid>
        <w:gridCol w:w="527"/>
        <w:gridCol w:w="5071"/>
        <w:gridCol w:w="1307"/>
        <w:gridCol w:w="1953"/>
        <w:gridCol w:w="4253"/>
        <w:gridCol w:w="2409"/>
      </w:tblGrid>
      <w:tr w:rsidR="007F66CC" w:rsidRPr="00F929C5" w:rsidTr="007F66CC">
        <w:trPr>
          <w:tblHeader/>
        </w:trPr>
        <w:tc>
          <w:tcPr>
            <w:tcW w:w="527"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center"/>
              <w:rPr>
                <w:b/>
              </w:rPr>
            </w:pPr>
            <w:r w:rsidRPr="00F929C5">
              <w:rPr>
                <w:b/>
              </w:rPr>
              <w:t>№</w:t>
            </w: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center"/>
              <w:rPr>
                <w:b/>
              </w:rPr>
            </w:pPr>
            <w:r w:rsidRPr="00F929C5">
              <w:rPr>
                <w:b/>
              </w:rPr>
              <w:t>Наименование мероприятия</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center"/>
              <w:rPr>
                <w:b/>
              </w:rPr>
            </w:pPr>
            <w:r w:rsidRPr="00F929C5">
              <w:rPr>
                <w:b/>
              </w:rPr>
              <w:t>Сроки</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center"/>
              <w:rPr>
                <w:b/>
              </w:rPr>
            </w:pPr>
            <w:r w:rsidRPr="00F929C5">
              <w:rPr>
                <w:b/>
              </w:rPr>
              <w:t>Уровень</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center"/>
              <w:rPr>
                <w:b/>
              </w:rPr>
            </w:pPr>
            <w:r w:rsidRPr="00F929C5">
              <w:rPr>
                <w:b/>
              </w:rPr>
              <w:t>Описание планируемого результата</w:t>
            </w:r>
          </w:p>
        </w:tc>
        <w:tc>
          <w:tcPr>
            <w:tcW w:w="2409" w:type="dxa"/>
          </w:tcPr>
          <w:p w:rsidR="007F66CC" w:rsidRPr="00F929C5" w:rsidRDefault="007F66CC" w:rsidP="00B5441E">
            <w:pPr>
              <w:widowControl w:val="0"/>
              <w:pBdr>
                <w:top w:val="nil"/>
                <w:left w:val="nil"/>
                <w:bottom w:val="nil"/>
                <w:right w:val="nil"/>
                <w:between w:val="nil"/>
              </w:pBdr>
              <w:jc w:val="center"/>
              <w:rPr>
                <w:b/>
              </w:rPr>
            </w:pPr>
            <w:r w:rsidRPr="00F929C5">
              <w:rPr>
                <w:b/>
              </w:rPr>
              <w:t>Форма отчетности</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bookmarkStart w:id="0" w:name="_Ref23594617"/>
          </w:p>
        </w:tc>
        <w:bookmarkEnd w:id="0"/>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 xml:space="preserve">Создание муниципальных межведомственных рабочих групп по внедрению и реализации Целевой модели ДОД (в том числе внедрению ПФ ДОД) </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10.02</w:t>
            </w:r>
            <w:r w:rsidRPr="00F929C5">
              <w:rPr>
                <w:lang w:val="en-US"/>
              </w:rPr>
              <w:t>.20</w:t>
            </w:r>
            <w:r w:rsidRPr="00F929C5">
              <w:t>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Утверждены составы и регламенты муниципальных межведомственных рабочих групп, назначены ответственные за внедрение персонифицированного финансирования</w:t>
            </w:r>
          </w:p>
        </w:tc>
        <w:tc>
          <w:tcPr>
            <w:tcW w:w="2409" w:type="dxa"/>
          </w:tcPr>
          <w:p w:rsidR="007F66CC" w:rsidRPr="00F929C5" w:rsidRDefault="007F66CC" w:rsidP="00B5441E">
            <w:pPr>
              <w:widowControl w:val="0"/>
              <w:pBdr>
                <w:top w:val="nil"/>
                <w:left w:val="nil"/>
                <w:bottom w:val="nil"/>
                <w:right w:val="nil"/>
                <w:between w:val="nil"/>
              </w:pBdr>
              <w:jc w:val="both"/>
            </w:pPr>
            <w:r w:rsidRPr="00F929C5">
              <w:t>Принятый нормативно–правовой акт (НПА)</w:t>
            </w:r>
          </w:p>
        </w:tc>
      </w:tr>
      <w:tr w:rsidR="007F66CC" w:rsidRPr="00F929C5" w:rsidTr="007F66CC">
        <w:tblPrEx>
          <w:tblLook w:val="0600"/>
        </w:tblPrEx>
        <w:trPr>
          <w:trHeight w:val="1125"/>
        </w:trPr>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tcMar>
              <w:top w:w="100" w:type="dxa"/>
              <w:left w:w="100" w:type="dxa"/>
              <w:bottom w:w="100" w:type="dxa"/>
              <w:right w:w="100" w:type="dxa"/>
            </w:tcMar>
          </w:tcPr>
          <w:p w:rsidR="007F66CC" w:rsidRPr="00F929C5" w:rsidRDefault="007F66CC" w:rsidP="00B5441E">
            <w:pPr>
              <w:widowControl w:val="0"/>
              <w:jc w:val="both"/>
            </w:pPr>
            <w:r w:rsidRPr="00F929C5">
              <w:t xml:space="preserve">Наполнение Навигатора данными об учреждениях </w:t>
            </w:r>
          </w:p>
        </w:tc>
        <w:tc>
          <w:tcPr>
            <w:tcW w:w="1307" w:type="dxa"/>
            <w:tcMar>
              <w:top w:w="100" w:type="dxa"/>
              <w:left w:w="100" w:type="dxa"/>
              <w:bottom w:w="100" w:type="dxa"/>
              <w:right w:w="100" w:type="dxa"/>
            </w:tcMar>
          </w:tcPr>
          <w:p w:rsidR="007F66CC" w:rsidRPr="00F929C5" w:rsidRDefault="007F66CC" w:rsidP="00B5441E">
            <w:pPr>
              <w:widowControl w:val="0"/>
              <w:ind w:left="-22" w:hanging="8"/>
              <w:jc w:val="both"/>
            </w:pPr>
            <w:r w:rsidRPr="00F929C5">
              <w:t>29.02.2020</w:t>
            </w:r>
          </w:p>
        </w:tc>
        <w:tc>
          <w:tcPr>
            <w:tcW w:w="1953" w:type="dxa"/>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6662" w:type="dxa"/>
            <w:gridSpan w:val="2"/>
            <w:tcMar>
              <w:top w:w="100" w:type="dxa"/>
              <w:left w:w="100" w:type="dxa"/>
              <w:bottom w:w="100" w:type="dxa"/>
              <w:right w:w="100" w:type="dxa"/>
            </w:tcMar>
          </w:tcPr>
          <w:p w:rsidR="007F66CC" w:rsidRPr="00F929C5" w:rsidRDefault="007F66CC" w:rsidP="00B5441E">
            <w:pPr>
              <w:widowControl w:val="0"/>
              <w:jc w:val="both"/>
            </w:pPr>
            <w:r w:rsidRPr="00F929C5">
              <w:t>Заполнены данные не менее чем о 80% учреждений дополнительного образования, культуры, спорта, дошкольных и общеобразовательных учреждений, СПО и ВПО, частных учреждениях, имеющих лицензию.</w:t>
            </w:r>
          </w:p>
        </w:tc>
      </w:tr>
      <w:tr w:rsidR="007F66CC" w:rsidRPr="00F929C5" w:rsidTr="007F66CC">
        <w:trPr>
          <w:trHeight w:val="1087"/>
        </w:trPr>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Подписание соглашений между Забайкальским краем и муниципальными образованиями об обязательствах последних по достижению показателей Целевой модели ДОД</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29.02</w:t>
            </w:r>
            <w:r w:rsidRPr="00F929C5">
              <w:rPr>
                <w:lang w:val="en-US"/>
              </w:rPr>
              <w:t>.20</w:t>
            </w:r>
            <w:r w:rsidRPr="00F929C5">
              <w:t>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Региональный</w:t>
            </w:r>
          </w:p>
          <w:p w:rsidR="007F66CC" w:rsidRPr="00F929C5" w:rsidRDefault="007F66CC" w:rsidP="00B5441E">
            <w:pPr>
              <w:widowControl w:val="0"/>
              <w:pBdr>
                <w:top w:val="nil"/>
                <w:left w:val="nil"/>
                <w:bottom w:val="nil"/>
                <w:right w:val="nil"/>
                <w:between w:val="nil"/>
              </w:pBdr>
              <w:jc w:val="both"/>
            </w:pP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Подписаны Соглашения со 100% муниципальных образований</w:t>
            </w:r>
          </w:p>
        </w:tc>
        <w:tc>
          <w:tcPr>
            <w:tcW w:w="2409" w:type="dxa"/>
          </w:tcPr>
          <w:p w:rsidR="007F66CC" w:rsidRPr="00F929C5" w:rsidRDefault="007F66CC" w:rsidP="00B5441E">
            <w:pPr>
              <w:widowControl w:val="0"/>
              <w:jc w:val="both"/>
            </w:pPr>
            <w:r w:rsidRPr="00F929C5">
              <w:t>Отчет о выполнении мероприятия</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Подписание соглашений между РМЦ ДОД Забайкальского края и МОЦ муниципальных образований Забайкальского края</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29.02.2020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Региональный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Подписаны Соглашения со 100% МОЦ</w:t>
            </w:r>
          </w:p>
        </w:tc>
        <w:tc>
          <w:tcPr>
            <w:tcW w:w="2409" w:type="dxa"/>
          </w:tcPr>
          <w:p w:rsidR="007F66CC" w:rsidRPr="00F929C5" w:rsidRDefault="007F66CC" w:rsidP="00B5441E">
            <w:pPr>
              <w:widowControl w:val="0"/>
              <w:jc w:val="both"/>
            </w:pPr>
            <w:r w:rsidRPr="00F929C5">
              <w:t>Отчет о выполнении мероприятия</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Наполнение Навигатора данными о программах дополнительного образования</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ind w:left="-22" w:hanging="8"/>
              <w:jc w:val="both"/>
              <w:rPr>
                <w:lang w:val="en-US"/>
              </w:rPr>
            </w:pPr>
            <w:r w:rsidRPr="00F929C5">
              <w:t>15.03</w:t>
            </w:r>
            <w:r w:rsidRPr="00F929C5">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Заполнены данные не менее чем о 80% дополнительных общеобразовательных программ, реализуемых на территории субъекта РФ.</w:t>
            </w:r>
          </w:p>
        </w:tc>
        <w:tc>
          <w:tcPr>
            <w:tcW w:w="2409" w:type="dxa"/>
          </w:tcPr>
          <w:p w:rsidR="007F66CC" w:rsidRPr="00F929C5" w:rsidRDefault="007F66CC" w:rsidP="00B5441E">
            <w:pPr>
              <w:widowControl w:val="0"/>
              <w:jc w:val="both"/>
              <w:rPr>
                <w:highlight w:val="green"/>
              </w:rPr>
            </w:pPr>
          </w:p>
        </w:tc>
      </w:tr>
      <w:tr w:rsidR="007F66CC" w:rsidRPr="00F929C5" w:rsidTr="007F66CC">
        <w:trPr>
          <w:trHeight w:val="2381"/>
        </w:trPr>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bookmarkStart w:id="1" w:name="_Ref23596447"/>
          </w:p>
        </w:tc>
        <w:bookmarkEnd w:id="1"/>
        <w:tc>
          <w:tcPr>
            <w:tcW w:w="5071"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Расчет параметров персонифицированного финансирования:</w:t>
            </w:r>
          </w:p>
          <w:p w:rsidR="007F66CC" w:rsidRPr="00F929C5" w:rsidRDefault="007F66CC" w:rsidP="00B5441E">
            <w:pPr>
              <w:widowControl w:val="0"/>
              <w:pBdr>
                <w:top w:val="nil"/>
                <w:left w:val="nil"/>
                <w:bottom w:val="nil"/>
                <w:right w:val="nil"/>
                <w:between w:val="nil"/>
              </w:pBdr>
              <w:jc w:val="both"/>
            </w:pPr>
            <w:r w:rsidRPr="00F929C5">
              <w:t>– определение номинала, числа и категорий сертификатов;</w:t>
            </w:r>
          </w:p>
          <w:p w:rsidR="007F66CC" w:rsidRPr="00F929C5" w:rsidRDefault="007F66CC" w:rsidP="00B5441E">
            <w:pPr>
              <w:widowControl w:val="0"/>
              <w:pBdr>
                <w:top w:val="nil"/>
                <w:left w:val="nil"/>
                <w:bottom w:val="nil"/>
                <w:right w:val="nil"/>
                <w:between w:val="nil"/>
              </w:pBdr>
              <w:jc w:val="both"/>
            </w:pPr>
            <w:r w:rsidRPr="00F929C5">
              <w:t xml:space="preserve">– определение параметров для расчета нормативных затрат (нормативной стоимости) на реализацию дополнительных </w:t>
            </w:r>
            <w:proofErr w:type="spellStart"/>
            <w:r w:rsidRPr="00F929C5">
              <w:t>общеразвивающих</w:t>
            </w:r>
            <w:proofErr w:type="spellEnd"/>
            <w:r w:rsidRPr="00F929C5">
              <w:t xml:space="preserve"> программ на человеко-час;</w:t>
            </w:r>
          </w:p>
          <w:p w:rsidR="007F66CC" w:rsidRPr="00F929C5" w:rsidRDefault="007F66CC" w:rsidP="00B5441E">
            <w:pPr>
              <w:widowControl w:val="0"/>
              <w:pBdr>
                <w:top w:val="nil"/>
                <w:left w:val="nil"/>
                <w:bottom w:val="nil"/>
                <w:right w:val="nil"/>
                <w:between w:val="nil"/>
              </w:pBdr>
              <w:jc w:val="both"/>
            </w:pPr>
            <w:r w:rsidRPr="00F929C5">
              <w:t>– формирование сходимости модели ПФ ДОД;</w:t>
            </w:r>
          </w:p>
          <w:p w:rsidR="007F66CC" w:rsidRPr="00F929C5" w:rsidRDefault="007F66CC" w:rsidP="00B5441E">
            <w:pPr>
              <w:widowControl w:val="0"/>
              <w:pBdr>
                <w:top w:val="nil"/>
                <w:left w:val="nil"/>
                <w:bottom w:val="nil"/>
                <w:right w:val="nil"/>
                <w:between w:val="nil"/>
              </w:pBdr>
              <w:jc w:val="both"/>
            </w:pPr>
            <w:r w:rsidRPr="00F929C5">
              <w:t>– расчет разделения муниципального задания.</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t>31</w:t>
            </w:r>
            <w:r w:rsidRPr="00F929C5">
              <w:t>.03.2020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Подготовленные расчеты</w:t>
            </w:r>
          </w:p>
        </w:tc>
        <w:tc>
          <w:tcPr>
            <w:tcW w:w="2409" w:type="dxa"/>
          </w:tcPr>
          <w:p w:rsidR="007F66CC" w:rsidRPr="00F929C5" w:rsidRDefault="007F66CC" w:rsidP="00B5441E">
            <w:pPr>
              <w:widowControl w:val="0"/>
              <w:jc w:val="both"/>
            </w:pPr>
            <w:r w:rsidRPr="00F929C5">
              <w:t xml:space="preserve">Таблицы в формате </w:t>
            </w:r>
            <w:r w:rsidRPr="00F929C5">
              <w:rPr>
                <w:lang w:val="en-US"/>
              </w:rPr>
              <w:t>Excel</w:t>
            </w:r>
            <w:r w:rsidRPr="00F929C5">
              <w:t xml:space="preserve"> с подготовленными расчетами</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Подготовка служебной записки о необходимости перераспределения бюджетных средств</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t>03</w:t>
            </w:r>
            <w:r w:rsidRPr="00F929C5">
              <w:t>.0</w:t>
            </w:r>
            <w:r>
              <w:t>4</w:t>
            </w:r>
            <w:r w:rsidRPr="00F929C5">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Направление служебной записки в финансовый орган</w:t>
            </w:r>
          </w:p>
        </w:tc>
        <w:tc>
          <w:tcPr>
            <w:tcW w:w="2409" w:type="dxa"/>
          </w:tcPr>
          <w:p w:rsidR="007F66CC" w:rsidRPr="00F929C5" w:rsidRDefault="007F66CC" w:rsidP="00B5441E">
            <w:pPr>
              <w:widowControl w:val="0"/>
              <w:jc w:val="both"/>
            </w:pPr>
            <w:r w:rsidRPr="00F929C5">
              <w:t>Служебная записка, направленная в финансовый орган</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Проведение 1 этапа информационной кампании о введении ПФ ДОД</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rsidRPr="00F929C5">
              <w:t>1</w:t>
            </w:r>
            <w:r>
              <w:t>6</w:t>
            </w:r>
            <w:r w:rsidRPr="00F929C5">
              <w:rPr>
                <w:lang w:val="en-US"/>
              </w:rPr>
              <w:t>.03.2020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Региональный и 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Интервью (в региональных и федеральных СМИ) представителя высшего органа исполнительной власти субъекта РФ.</w:t>
            </w:r>
          </w:p>
          <w:p w:rsidR="007F66CC" w:rsidRPr="00F929C5" w:rsidRDefault="007F66CC" w:rsidP="00B5441E">
            <w:pPr>
              <w:widowControl w:val="0"/>
              <w:jc w:val="both"/>
            </w:pPr>
            <w:r w:rsidRPr="00F929C5">
              <w:t>Пресс-конференция о внедрении Целевой модели, включая ПФ ДОД.</w:t>
            </w:r>
          </w:p>
          <w:p w:rsidR="007F66CC" w:rsidRPr="00F929C5" w:rsidRDefault="007F66CC" w:rsidP="00B5441E">
            <w:pPr>
              <w:widowControl w:val="0"/>
              <w:jc w:val="both"/>
            </w:pPr>
            <w:r w:rsidRPr="00F929C5">
              <w:t xml:space="preserve">Размещение краткой информации о внедрении ПФ ДОД и баннеров Навигатора ДОД на сайтах учреждений, ОМСУ, </w:t>
            </w:r>
            <w:proofErr w:type="gramStart"/>
            <w:r w:rsidRPr="00F929C5">
              <w:t>РОИВ</w:t>
            </w:r>
            <w:proofErr w:type="gramEnd"/>
            <w:r w:rsidRPr="00F929C5">
              <w:t>.</w:t>
            </w:r>
          </w:p>
        </w:tc>
        <w:tc>
          <w:tcPr>
            <w:tcW w:w="2409" w:type="dxa"/>
          </w:tcPr>
          <w:p w:rsidR="007F66CC" w:rsidRPr="00F929C5" w:rsidRDefault="007F66CC" w:rsidP="00B5441E">
            <w:pPr>
              <w:widowControl w:val="0"/>
              <w:jc w:val="both"/>
            </w:pPr>
            <w:r w:rsidRPr="00F929C5">
              <w:t>Отчет о проведенной информационной кампании</w:t>
            </w:r>
          </w:p>
        </w:tc>
      </w:tr>
      <w:tr w:rsidR="007F66CC" w:rsidRPr="00F929C5" w:rsidTr="007F66CC">
        <w:trPr>
          <w:trHeight w:val="596"/>
        </w:trPr>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Принятие нормативно-правового акта ОМСУ с приложением Правил ПФ ДОД</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rPr>
                <w:lang w:val="en-US"/>
              </w:rPr>
            </w:pPr>
            <w:r>
              <w:t>13</w:t>
            </w:r>
            <w:r w:rsidRPr="00F929C5">
              <w:rPr>
                <w:lang w:val="en-US"/>
              </w:rPr>
              <w:t>.03.2020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c>
          <w:tcPr>
            <w:tcW w:w="2409" w:type="dxa"/>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Принятие нормативно-правового акта уполномоченного органа об утверждении программы персонифицированного финансирования</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t>30</w:t>
            </w:r>
            <w:r>
              <w:rPr>
                <w:lang w:val="en-US"/>
              </w:rPr>
              <w:t>.0</w:t>
            </w:r>
            <w:r>
              <w:t>4</w:t>
            </w:r>
            <w:r w:rsidRPr="00F929C5">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c>
          <w:tcPr>
            <w:tcW w:w="2409" w:type="dxa"/>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Принятие нормативно-правовым актом уполномоченного органа основных параметров для расчета нормативных затрат (нормативной стоимости)</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t>03</w:t>
            </w:r>
            <w:r>
              <w:rPr>
                <w:lang w:val="en-US"/>
              </w:rPr>
              <w:t>.0</w:t>
            </w:r>
            <w:r>
              <w:t>4</w:t>
            </w:r>
            <w:r w:rsidRPr="00F929C5">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c>
          <w:tcPr>
            <w:tcW w:w="2409" w:type="dxa"/>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bookmarkStart w:id="2" w:name="_Ref23602954"/>
          </w:p>
        </w:tc>
        <w:bookmarkEnd w:id="2"/>
        <w:tc>
          <w:tcPr>
            <w:tcW w:w="5071"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r w:rsidRPr="00F929C5">
              <w:t>Внесение изменений в решение о местном бюджете для закрепления:</w:t>
            </w:r>
          </w:p>
          <w:p w:rsidR="007F66CC" w:rsidRPr="00F929C5" w:rsidRDefault="007F66CC" w:rsidP="00B5441E">
            <w:pPr>
              <w:widowControl w:val="0"/>
              <w:pBdr>
                <w:top w:val="nil"/>
                <w:left w:val="nil"/>
                <w:bottom w:val="nil"/>
                <w:right w:val="nil"/>
                <w:between w:val="nil"/>
              </w:pBdr>
              <w:jc w:val="both"/>
            </w:pPr>
            <w:r w:rsidRPr="00F929C5">
              <w:t>– финансового обеспечения мероприятия по ПФ ДОД;</w:t>
            </w:r>
          </w:p>
          <w:p w:rsidR="007F66CC" w:rsidRPr="00F929C5" w:rsidRDefault="007F66CC" w:rsidP="00B5441E">
            <w:pPr>
              <w:widowControl w:val="0"/>
              <w:pBdr>
                <w:top w:val="nil"/>
                <w:left w:val="nil"/>
                <w:bottom w:val="nil"/>
                <w:right w:val="nil"/>
                <w:between w:val="nil"/>
              </w:pBdr>
              <w:jc w:val="both"/>
            </w:pPr>
            <w:r w:rsidRPr="00F929C5">
              <w:t xml:space="preserve">– полномочий начальника финансового органа муниципального образования </w:t>
            </w:r>
            <w:proofErr w:type="gramStart"/>
            <w:r w:rsidRPr="00F929C5">
              <w:t>по внесению изменений в сводную бюджетную роспись без внесения изменений в решение о бюджете</w:t>
            </w:r>
            <w:proofErr w:type="gramEnd"/>
            <w:r w:rsidRPr="00F929C5">
              <w:t xml:space="preserve"> (при необходимости внесение изменений в положение о бюджетном процессе в муниципальном образовании).</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rPr>
                <w:lang w:val="en-US"/>
              </w:rPr>
            </w:pPr>
            <w:r>
              <w:t>24</w:t>
            </w:r>
            <w:r>
              <w:rPr>
                <w:lang w:val="en-US"/>
              </w:rPr>
              <w:t>.0</w:t>
            </w:r>
            <w:r>
              <w:t>4</w:t>
            </w:r>
            <w:r w:rsidRPr="00F929C5">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rPr>
                <w:color w:val="4A86E8"/>
              </w:rPr>
            </w:pPr>
            <w:r w:rsidRPr="00F929C5">
              <w:t>Принятые изменения в решение о бюджете</w:t>
            </w:r>
          </w:p>
        </w:tc>
        <w:tc>
          <w:tcPr>
            <w:tcW w:w="2409" w:type="dxa"/>
          </w:tcPr>
          <w:p w:rsidR="007F66CC" w:rsidRPr="00F929C5" w:rsidRDefault="007F66CC" w:rsidP="00B5441E">
            <w:pPr>
              <w:widowControl w:val="0"/>
              <w:jc w:val="both"/>
              <w:rPr>
                <w:color w:val="4A86E8"/>
              </w:rPr>
            </w:pPr>
            <w:r w:rsidRPr="00F929C5">
              <w:t>Решение представительного органа местного самоуправления о внесении изменений в решение о бюджете</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bookmarkStart w:id="3" w:name="_Ref23603412"/>
          </w:p>
        </w:tc>
        <w:bookmarkEnd w:id="3"/>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Принятие нормативно-правового акта ОМСУ о внесении изменений в муниципальные программы развития для закрепления мероприятия по ПФ ДОД</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t>3</w:t>
            </w:r>
            <w:r w:rsidRPr="00F929C5">
              <w:t>0</w:t>
            </w:r>
            <w:r w:rsidRPr="00F929C5">
              <w:rPr>
                <w:lang w:val="en-US"/>
              </w:rPr>
              <w:t>.0</w:t>
            </w:r>
            <w:r w:rsidRPr="00F929C5">
              <w:t>4</w:t>
            </w:r>
            <w:r w:rsidRPr="00F929C5">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c>
          <w:tcPr>
            <w:tcW w:w="2409" w:type="dxa"/>
          </w:tcPr>
          <w:p w:rsidR="007F66CC" w:rsidRPr="00F929C5" w:rsidRDefault="007F66CC" w:rsidP="00B5441E">
            <w:pPr>
              <w:widowControl w:val="0"/>
              <w:pBdr>
                <w:top w:val="nil"/>
                <w:left w:val="nil"/>
                <w:bottom w:val="nil"/>
                <w:right w:val="nil"/>
                <w:between w:val="nil"/>
              </w:pBdr>
              <w:jc w:val="both"/>
            </w:pPr>
            <w:proofErr w:type="gramStart"/>
            <w:r w:rsidRPr="00F929C5">
              <w:t>Принятый</w:t>
            </w:r>
            <w:proofErr w:type="gramEnd"/>
            <w:r w:rsidRPr="00F929C5">
              <w:t xml:space="preserve"> НПА</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Принятие нормативно-правового акта ОМСУ о внесении изменений в порядок формирования и финансового обеспечения муниципальных заданий</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ind w:left="-22" w:hanging="8"/>
              <w:jc w:val="both"/>
              <w:rPr>
                <w:lang w:val="en-US"/>
              </w:rPr>
            </w:pPr>
            <w:r w:rsidRPr="004354FE">
              <w:t>17</w:t>
            </w:r>
            <w:r w:rsidRPr="004354FE">
              <w:rPr>
                <w:lang w:val="en-US"/>
              </w:rPr>
              <w:t>.0</w:t>
            </w:r>
            <w:r w:rsidRPr="004354FE">
              <w:t>4</w:t>
            </w:r>
            <w:r w:rsidRPr="004354FE">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proofErr w:type="gramStart"/>
            <w:r w:rsidRPr="00F929C5">
              <w:t>Принятый</w:t>
            </w:r>
            <w:proofErr w:type="gramEnd"/>
            <w:r w:rsidRPr="00F929C5">
              <w:t xml:space="preserve"> НПА</w:t>
            </w:r>
          </w:p>
        </w:tc>
        <w:tc>
          <w:tcPr>
            <w:tcW w:w="2409" w:type="dxa"/>
          </w:tcPr>
          <w:p w:rsidR="007F66CC" w:rsidRPr="00F929C5" w:rsidRDefault="007F66CC" w:rsidP="00B5441E">
            <w:pPr>
              <w:widowControl w:val="0"/>
              <w:jc w:val="both"/>
            </w:pPr>
            <w:proofErr w:type="gramStart"/>
            <w:r w:rsidRPr="00F929C5">
              <w:t>Принятый</w:t>
            </w:r>
            <w:proofErr w:type="gramEnd"/>
            <w:r w:rsidRPr="00F929C5">
              <w:t xml:space="preserve"> НПА</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rsidRPr="004354FE">
              <w:t>15</w:t>
            </w:r>
            <w:r w:rsidRPr="004354FE">
              <w:rPr>
                <w:lang w:val="en-US"/>
              </w:rPr>
              <w:t>.0</w:t>
            </w:r>
            <w:r w:rsidRPr="004354FE">
              <w:t>5</w:t>
            </w:r>
            <w:r w:rsidRPr="004354FE">
              <w:rPr>
                <w:lang w:val="en-US"/>
              </w:rPr>
              <w:t>.2020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Скорректированы муниципальные задания и соглашения о финансовом обеспечении выполнения муниципального задания</w:t>
            </w:r>
          </w:p>
        </w:tc>
        <w:tc>
          <w:tcPr>
            <w:tcW w:w="2409" w:type="dxa"/>
          </w:tcPr>
          <w:p w:rsidR="007F66CC" w:rsidRPr="00F929C5" w:rsidRDefault="007F66CC" w:rsidP="00B5441E">
            <w:pPr>
              <w:widowControl w:val="0"/>
              <w:jc w:val="both"/>
            </w:pPr>
            <w:r w:rsidRPr="00F929C5">
              <w:t>Отчет о выполнении мероприятия</w:t>
            </w:r>
          </w:p>
        </w:tc>
      </w:tr>
      <w:tr w:rsidR="007F66CC" w:rsidRPr="00F929C5" w:rsidTr="007F66CC">
        <w:trPr>
          <w:trHeight w:val="1315"/>
        </w:trPr>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Внесение изменений в локальные акты муниципальных поставщиков образовательных услуг</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ind w:left="-36" w:firstLine="14"/>
              <w:jc w:val="both"/>
              <w:rPr>
                <w:lang w:val="en-US"/>
              </w:rPr>
            </w:pPr>
            <w:r w:rsidRPr="00F929C5">
              <w:rPr>
                <w:lang w:val="en-US"/>
              </w:rPr>
              <w:t>30.04.2020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 xml:space="preserve">Внесенные изменения в локальные акты, утверждение </w:t>
            </w:r>
            <w:proofErr w:type="gramStart"/>
            <w:r w:rsidRPr="00F929C5">
              <w:t>ответственных</w:t>
            </w:r>
            <w:proofErr w:type="gramEnd"/>
            <w:r w:rsidRPr="00F929C5">
              <w:t xml:space="preserve"> за операции с сертификатами</w:t>
            </w:r>
          </w:p>
        </w:tc>
        <w:tc>
          <w:tcPr>
            <w:tcW w:w="2409" w:type="dxa"/>
          </w:tcPr>
          <w:p w:rsidR="007F66CC" w:rsidRPr="00F929C5" w:rsidRDefault="007F66CC" w:rsidP="00B5441E">
            <w:pPr>
              <w:widowControl w:val="0"/>
              <w:jc w:val="both"/>
            </w:pPr>
            <w:r w:rsidRPr="00F929C5">
              <w:t>Измененные локальные акты на примере одной из образовательных организаций</w:t>
            </w:r>
          </w:p>
        </w:tc>
      </w:tr>
      <w:tr w:rsidR="007F66CC" w:rsidRPr="00F929C5" w:rsidTr="007F66CC">
        <w:trPr>
          <w:trHeight w:val="1388"/>
        </w:trPr>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Наполнение Навигатора данными о детях и заявках на программы дополнительного образования</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ind w:left="-22" w:hanging="8"/>
              <w:jc w:val="both"/>
              <w:rPr>
                <w:lang w:val="en-US"/>
              </w:rPr>
            </w:pPr>
            <w:r w:rsidRPr="00F929C5">
              <w:rPr>
                <w:lang w:val="en-US"/>
              </w:rPr>
              <w:t>30.04.2020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 xml:space="preserve">В Навигаторе </w:t>
            </w:r>
            <w:proofErr w:type="gramStart"/>
            <w:r w:rsidRPr="00F929C5">
              <w:t>зарегистрированы</w:t>
            </w:r>
            <w:proofErr w:type="gramEnd"/>
            <w:r w:rsidRPr="00F929C5">
              <w:t xml:space="preserve"> не менее 80% от контингента детей в возрасте от 5 до 18 лет. Регистрация проводится в массовом порядке через школы с одновременной выдачей </w:t>
            </w:r>
            <w:r w:rsidRPr="00F929C5">
              <w:lastRenderedPageBreak/>
              <w:t>сертификатов учета или сертификатов финансирования.</w:t>
            </w:r>
          </w:p>
        </w:tc>
        <w:tc>
          <w:tcPr>
            <w:tcW w:w="2409" w:type="dxa"/>
          </w:tcPr>
          <w:p w:rsidR="007F66CC" w:rsidRPr="00F929C5" w:rsidRDefault="007F66CC" w:rsidP="00B5441E">
            <w:pPr>
              <w:widowControl w:val="0"/>
              <w:jc w:val="both"/>
            </w:pPr>
          </w:p>
        </w:tc>
      </w:tr>
      <w:tr w:rsidR="007F66CC" w:rsidRPr="00F929C5" w:rsidTr="007F66CC">
        <w:trPr>
          <w:trHeight w:val="3046"/>
        </w:trPr>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Проведение 2 этапа информационной кампании о введении ПФ ДОД</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t>20</w:t>
            </w:r>
            <w:r w:rsidRPr="00F929C5">
              <w:rPr>
                <w:lang w:val="en-US"/>
              </w:rPr>
              <w:t>.05.2020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Региональный и муниципальный</w:t>
            </w:r>
          </w:p>
        </w:tc>
        <w:tc>
          <w:tcPr>
            <w:tcW w:w="4253" w:type="dxa"/>
            <w:shd w:val="clear" w:color="auto" w:fill="auto"/>
            <w:tcMar>
              <w:top w:w="100" w:type="dxa"/>
              <w:left w:w="100" w:type="dxa"/>
              <w:bottom w:w="100" w:type="dxa"/>
              <w:right w:w="100" w:type="dxa"/>
            </w:tcMar>
          </w:tcPr>
          <w:p w:rsidR="007F66CC" w:rsidRPr="00F929C5" w:rsidRDefault="007F66CC" w:rsidP="007F66CC">
            <w:pPr>
              <w:pStyle w:val="ad"/>
            </w:pPr>
            <w:r w:rsidRPr="00F929C5">
              <w:t xml:space="preserve">Распространение печатных материалов (листовок, буклетов) через учреждения </w:t>
            </w:r>
            <w:proofErr w:type="gramStart"/>
            <w:r w:rsidRPr="00F929C5">
              <w:t>ДО</w:t>
            </w:r>
            <w:proofErr w:type="gramEnd"/>
            <w:r w:rsidRPr="00F929C5">
              <w:t xml:space="preserve">, </w:t>
            </w:r>
            <w:proofErr w:type="gramStart"/>
            <w:r w:rsidRPr="00F929C5">
              <w:t>общеобразовательные</w:t>
            </w:r>
            <w:proofErr w:type="gramEnd"/>
            <w:r w:rsidRPr="00F929C5">
              <w:t xml:space="preserve"> школы и дошкольные учреждения, в том числе через родительские собрания.</w:t>
            </w:r>
          </w:p>
          <w:p w:rsidR="007F66CC" w:rsidRPr="00F929C5" w:rsidRDefault="007F66CC" w:rsidP="007F66CC">
            <w:pPr>
              <w:pStyle w:val="ad"/>
            </w:pPr>
            <w:r w:rsidRPr="00F929C5">
              <w:t>Ответы на вопросы для СМИ.</w:t>
            </w:r>
          </w:p>
          <w:p w:rsidR="007F66CC" w:rsidRPr="00F929C5" w:rsidRDefault="007F66CC" w:rsidP="007F66CC">
            <w:pPr>
              <w:pStyle w:val="ad"/>
            </w:pPr>
            <w:r w:rsidRPr="00F929C5">
              <w:t>Реклама ПФ ДОД на региональном и муниципальном теле- и радиоканалах.</w:t>
            </w:r>
          </w:p>
          <w:p w:rsidR="007F66CC" w:rsidRPr="00F929C5" w:rsidRDefault="007F66CC" w:rsidP="007F66CC">
            <w:pPr>
              <w:pStyle w:val="ad"/>
            </w:pPr>
            <w:r w:rsidRPr="00F929C5">
              <w:t xml:space="preserve">Размещение подробной информации о внедрении ПФ ДОД на сайтах учреждений, ОМСУ, </w:t>
            </w:r>
            <w:proofErr w:type="gramStart"/>
            <w:r w:rsidRPr="00F929C5">
              <w:t>РОИВ</w:t>
            </w:r>
            <w:proofErr w:type="gramEnd"/>
            <w:r w:rsidRPr="00F929C5">
              <w:t>.</w:t>
            </w:r>
          </w:p>
        </w:tc>
        <w:tc>
          <w:tcPr>
            <w:tcW w:w="2409" w:type="dxa"/>
          </w:tcPr>
          <w:p w:rsidR="007F66CC" w:rsidRPr="00F929C5" w:rsidRDefault="007F66CC" w:rsidP="00B5441E">
            <w:pPr>
              <w:widowControl w:val="0"/>
              <w:jc w:val="both"/>
            </w:pPr>
            <w:r w:rsidRPr="00F929C5">
              <w:t>Отчет о проведенной информационной кампании</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Проведение 3 этапа информационной кампании о введении ПФ ДОД</w:t>
            </w:r>
          </w:p>
        </w:tc>
        <w:tc>
          <w:tcPr>
            <w:tcW w:w="1307" w:type="dxa"/>
            <w:shd w:val="clear" w:color="auto" w:fill="auto"/>
            <w:tcMar>
              <w:top w:w="100" w:type="dxa"/>
              <w:left w:w="100" w:type="dxa"/>
              <w:bottom w:w="100" w:type="dxa"/>
              <w:right w:w="100" w:type="dxa"/>
            </w:tcMar>
          </w:tcPr>
          <w:p w:rsidR="007F66CC" w:rsidRPr="00F929C5" w:rsidRDefault="007F66CC" w:rsidP="00B5441E">
            <w:pPr>
              <w:widowControl w:val="0"/>
              <w:jc w:val="both"/>
              <w:rPr>
                <w:lang w:val="en-US"/>
              </w:rPr>
            </w:pPr>
            <w:r>
              <w:t>04</w:t>
            </w:r>
            <w:r w:rsidRPr="00F929C5">
              <w:rPr>
                <w:lang w:val="en-US"/>
              </w:rPr>
              <w:t>.09.2020</w:t>
            </w:r>
          </w:p>
        </w:tc>
        <w:tc>
          <w:tcPr>
            <w:tcW w:w="1953" w:type="dxa"/>
            <w:shd w:val="clear" w:color="auto" w:fill="auto"/>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shd w:val="clear" w:color="auto" w:fill="auto"/>
            <w:tcMar>
              <w:top w:w="100" w:type="dxa"/>
              <w:left w:w="100" w:type="dxa"/>
              <w:bottom w:w="100" w:type="dxa"/>
              <w:right w:w="100" w:type="dxa"/>
            </w:tcMar>
          </w:tcPr>
          <w:p w:rsidR="007F66CC" w:rsidRPr="00F929C5" w:rsidRDefault="007F66CC" w:rsidP="007F66CC">
            <w:pPr>
              <w:pStyle w:val="ad"/>
            </w:pPr>
            <w:r w:rsidRPr="00F929C5">
              <w:t>Проведение родительских собраний в школах, организация массовой выдачи сертификатов.</w:t>
            </w:r>
          </w:p>
          <w:p w:rsidR="007F66CC" w:rsidRPr="00F929C5" w:rsidRDefault="007F66CC" w:rsidP="007F66CC">
            <w:pPr>
              <w:pStyle w:val="ad"/>
            </w:pPr>
            <w:r w:rsidRPr="00F929C5">
              <w:t>Обучающие видеоролики о регистрации в Навигаторе и порядке получения сертификатов.</w:t>
            </w:r>
          </w:p>
          <w:p w:rsidR="007F66CC" w:rsidRPr="00F929C5" w:rsidRDefault="007F66CC" w:rsidP="007F66CC">
            <w:pPr>
              <w:pStyle w:val="ad"/>
            </w:pPr>
            <w:r w:rsidRPr="00F929C5">
              <w:t>Размещение пошаговых инструкций на сайтах образовательных учреждений и группах в социальных сетях, распространение печатных версий через образовательные учреждения.</w:t>
            </w:r>
          </w:p>
        </w:tc>
        <w:tc>
          <w:tcPr>
            <w:tcW w:w="2409" w:type="dxa"/>
          </w:tcPr>
          <w:p w:rsidR="007F66CC" w:rsidRPr="00F929C5" w:rsidRDefault="007F66CC" w:rsidP="00B5441E">
            <w:pPr>
              <w:widowControl w:val="0"/>
              <w:jc w:val="both"/>
            </w:pPr>
            <w:r w:rsidRPr="00F929C5">
              <w:t>Отчет о проведенной информационной кампании</w:t>
            </w:r>
          </w:p>
        </w:tc>
      </w:tr>
      <w:tr w:rsidR="007F66CC" w:rsidRPr="00F929C5" w:rsidTr="007F66CC">
        <w:tc>
          <w:tcPr>
            <w:tcW w:w="527" w:type="dxa"/>
            <w:shd w:val="clear" w:color="auto" w:fill="auto"/>
            <w:tcMar>
              <w:top w:w="100" w:type="dxa"/>
              <w:left w:w="100" w:type="dxa"/>
              <w:bottom w:w="100" w:type="dxa"/>
              <w:right w:w="100" w:type="dxa"/>
            </w:tcMar>
          </w:tcPr>
          <w:p w:rsidR="007F66CC" w:rsidRPr="00F929C5" w:rsidRDefault="007F66CC" w:rsidP="007F66CC">
            <w:pPr>
              <w:pStyle w:val="ab"/>
              <w:widowControl w:val="0"/>
              <w:numPr>
                <w:ilvl w:val="0"/>
                <w:numId w:val="43"/>
              </w:numPr>
              <w:pBdr>
                <w:top w:val="nil"/>
                <w:left w:val="nil"/>
                <w:bottom w:val="nil"/>
                <w:right w:val="nil"/>
                <w:between w:val="nil"/>
              </w:pBdr>
              <w:suppressAutoHyphens w:val="0"/>
              <w:contextualSpacing/>
              <w:rPr>
                <w:b/>
                <w:bCs/>
              </w:rPr>
            </w:pPr>
          </w:p>
        </w:tc>
        <w:tc>
          <w:tcPr>
            <w:tcW w:w="5071" w:type="dxa"/>
            <w:tcMar>
              <w:top w:w="100" w:type="dxa"/>
              <w:left w:w="100" w:type="dxa"/>
              <w:bottom w:w="100" w:type="dxa"/>
              <w:right w:w="100" w:type="dxa"/>
            </w:tcMar>
          </w:tcPr>
          <w:p w:rsidR="007F66CC" w:rsidRPr="00F929C5" w:rsidRDefault="007F66CC" w:rsidP="00B5441E">
            <w:pPr>
              <w:widowControl w:val="0"/>
              <w:jc w:val="both"/>
            </w:pPr>
            <w:r w:rsidRPr="00F929C5">
              <w:rPr>
                <w:color w:val="000000"/>
              </w:rPr>
              <w:t>Перераспределение остатков неиспользованных средств, предусмотренных на обеспечение сертификатов</w:t>
            </w:r>
          </w:p>
        </w:tc>
        <w:tc>
          <w:tcPr>
            <w:tcW w:w="1307" w:type="dxa"/>
            <w:tcMar>
              <w:top w:w="100" w:type="dxa"/>
              <w:left w:w="100" w:type="dxa"/>
              <w:bottom w:w="100" w:type="dxa"/>
              <w:right w:w="100" w:type="dxa"/>
            </w:tcMar>
          </w:tcPr>
          <w:p w:rsidR="007F66CC" w:rsidRPr="00F929C5" w:rsidRDefault="007F66CC" w:rsidP="00B5441E">
            <w:pPr>
              <w:widowControl w:val="0"/>
              <w:ind w:left="-22" w:hanging="8"/>
              <w:jc w:val="both"/>
              <w:rPr>
                <w:lang w:val="en-US"/>
              </w:rPr>
            </w:pPr>
            <w:r>
              <w:t>01</w:t>
            </w:r>
            <w:r w:rsidRPr="00F929C5">
              <w:rPr>
                <w:lang w:val="en-US"/>
              </w:rPr>
              <w:t>.12.2020</w:t>
            </w:r>
          </w:p>
        </w:tc>
        <w:tc>
          <w:tcPr>
            <w:tcW w:w="1953" w:type="dxa"/>
            <w:tcMar>
              <w:top w:w="100" w:type="dxa"/>
              <w:left w:w="100" w:type="dxa"/>
              <w:bottom w:w="100" w:type="dxa"/>
              <w:right w:w="100" w:type="dxa"/>
            </w:tcMar>
          </w:tcPr>
          <w:p w:rsidR="007F66CC" w:rsidRPr="00F929C5" w:rsidRDefault="007F66CC" w:rsidP="00B5441E">
            <w:pPr>
              <w:widowControl w:val="0"/>
              <w:jc w:val="both"/>
            </w:pPr>
            <w:r w:rsidRPr="00F929C5">
              <w:t>Муниципальный</w:t>
            </w:r>
          </w:p>
        </w:tc>
        <w:tc>
          <w:tcPr>
            <w:tcW w:w="4253" w:type="dxa"/>
            <w:tcMar>
              <w:top w:w="100" w:type="dxa"/>
              <w:left w:w="100" w:type="dxa"/>
              <w:bottom w:w="100" w:type="dxa"/>
              <w:right w:w="100" w:type="dxa"/>
            </w:tcMar>
          </w:tcPr>
          <w:p w:rsidR="007F66CC" w:rsidRPr="00F929C5" w:rsidRDefault="007F66CC" w:rsidP="007F66CC">
            <w:pPr>
              <w:pStyle w:val="ad"/>
            </w:pPr>
            <w:r w:rsidRPr="00F929C5">
              <w:t>Внесены изменения в бюджетную роспись, муниципальную программу развития, заключены соглашения с образовательными организациями о предоставлении субсидии на иные цели.</w:t>
            </w:r>
          </w:p>
        </w:tc>
        <w:tc>
          <w:tcPr>
            <w:tcW w:w="2409" w:type="dxa"/>
          </w:tcPr>
          <w:p w:rsidR="007F66CC" w:rsidRPr="00F929C5" w:rsidRDefault="007F66CC" w:rsidP="00B5441E">
            <w:pPr>
              <w:widowControl w:val="0"/>
              <w:jc w:val="both"/>
            </w:pPr>
          </w:p>
        </w:tc>
      </w:tr>
    </w:tbl>
    <w:p w:rsidR="007F66CC" w:rsidRDefault="007F66CC" w:rsidP="007F66CC">
      <w:pPr>
        <w:jc w:val="center"/>
        <w:rPr>
          <w:spacing w:val="-1"/>
          <w:sz w:val="28"/>
          <w:szCs w:val="28"/>
        </w:rPr>
      </w:pPr>
      <w:r>
        <w:t>__________________________</w:t>
      </w:r>
    </w:p>
    <w:sectPr w:rsidR="007F66CC" w:rsidSect="00F929C5">
      <w:pgSz w:w="16838" w:h="11906" w:orient="landscape"/>
      <w:pgMar w:top="284"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69A2B3F"/>
    <w:multiLevelType w:val="hybridMultilevel"/>
    <w:tmpl w:val="CB505EE6"/>
    <w:lvl w:ilvl="0" w:tplc="08DA03DC">
      <w:start w:val="1"/>
      <w:numFmt w:val="decimal"/>
      <w:lvlText w:val="%1."/>
      <w:lvlJc w:val="left"/>
      <w:pPr>
        <w:ind w:left="1841" w:hanging="114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C6D0347"/>
    <w:multiLevelType w:val="hybridMultilevel"/>
    <w:tmpl w:val="EF8452C2"/>
    <w:lvl w:ilvl="0" w:tplc="1DD86D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362183"/>
    <w:multiLevelType w:val="multilevel"/>
    <w:tmpl w:val="B656A0F8"/>
    <w:lvl w:ilvl="0">
      <w:start w:val="1"/>
      <w:numFmt w:val="decimal"/>
      <w:lvlText w:val="%1."/>
      <w:lvlJc w:val="left"/>
      <w:pPr>
        <w:ind w:left="54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4550881"/>
    <w:multiLevelType w:val="multilevel"/>
    <w:tmpl w:val="C368E34E"/>
    <w:lvl w:ilvl="0">
      <w:start w:val="5"/>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1A5708"/>
    <w:multiLevelType w:val="hybridMultilevel"/>
    <w:tmpl w:val="53008894"/>
    <w:lvl w:ilvl="0" w:tplc="93C4311C">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480417"/>
    <w:multiLevelType w:val="multilevel"/>
    <w:tmpl w:val="C75A4A90"/>
    <w:lvl w:ilvl="0">
      <w:start w:val="7"/>
      <w:numFmt w:val="decimal"/>
      <w:lvlText w:val="%1"/>
      <w:lvlJc w:val="left"/>
      <w:pPr>
        <w:ind w:left="375" w:hanging="375"/>
      </w:pPr>
      <w:rPr>
        <w:b w:val="0"/>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0">
    <w:nsid w:val="72755028"/>
    <w:multiLevelType w:val="hybridMultilevel"/>
    <w:tmpl w:val="4C3C2012"/>
    <w:lvl w:ilvl="0" w:tplc="31EEE7A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2"/>
  </w:num>
  <w:num w:numId="3">
    <w:abstractNumId w:val="31"/>
  </w:num>
  <w:num w:numId="4">
    <w:abstractNumId w:val="41"/>
  </w:num>
  <w:num w:numId="5">
    <w:abstractNumId w:val="34"/>
  </w:num>
  <w:num w:numId="6">
    <w:abstractNumId w:val="15"/>
  </w:num>
  <w:num w:numId="7">
    <w:abstractNumId w:val="27"/>
  </w:num>
  <w:num w:numId="8">
    <w:abstractNumId w:val="26"/>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36"/>
  </w:num>
  <w:num w:numId="27">
    <w:abstractNumId w:val="17"/>
  </w:num>
  <w:num w:numId="28">
    <w:abstractNumId w:val="33"/>
  </w:num>
  <w:num w:numId="29">
    <w:abstractNumId w:val="28"/>
  </w:num>
  <w:num w:numId="30">
    <w:abstractNumId w:val="18"/>
  </w:num>
  <w:num w:numId="31">
    <w:abstractNumId w:val="10"/>
  </w:num>
  <w:num w:numId="32">
    <w:abstractNumId w:val="12"/>
  </w:num>
  <w:num w:numId="33">
    <w:abstractNumId w:val="20"/>
  </w:num>
  <w:num w:numId="34">
    <w:abstractNumId w:val="1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975E6"/>
    <w:rsid w:val="000B222A"/>
    <w:rsid w:val="000B58F8"/>
    <w:rsid w:val="000B745F"/>
    <w:rsid w:val="000C239D"/>
    <w:rsid w:val="000C3DD6"/>
    <w:rsid w:val="000C641B"/>
    <w:rsid w:val="000C7414"/>
    <w:rsid w:val="000E26B4"/>
    <w:rsid w:val="000E5610"/>
    <w:rsid w:val="000E7E99"/>
    <w:rsid w:val="000F0C1F"/>
    <w:rsid w:val="000F62B0"/>
    <w:rsid w:val="000F7783"/>
    <w:rsid w:val="00103568"/>
    <w:rsid w:val="00104BD9"/>
    <w:rsid w:val="0012088F"/>
    <w:rsid w:val="00121BDC"/>
    <w:rsid w:val="00132D39"/>
    <w:rsid w:val="00154DEA"/>
    <w:rsid w:val="001555D8"/>
    <w:rsid w:val="00161190"/>
    <w:rsid w:val="0017127B"/>
    <w:rsid w:val="00172D72"/>
    <w:rsid w:val="0017331F"/>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0B38"/>
    <w:rsid w:val="001F4F5A"/>
    <w:rsid w:val="001F6327"/>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412B2"/>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50280"/>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6BB1"/>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72090"/>
    <w:rsid w:val="00581E2A"/>
    <w:rsid w:val="005826AE"/>
    <w:rsid w:val="00583B40"/>
    <w:rsid w:val="00584838"/>
    <w:rsid w:val="005914CD"/>
    <w:rsid w:val="005A2647"/>
    <w:rsid w:val="005B3292"/>
    <w:rsid w:val="005B68F5"/>
    <w:rsid w:val="005B6B83"/>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2360"/>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0280"/>
    <w:rsid w:val="0075670B"/>
    <w:rsid w:val="0075716F"/>
    <w:rsid w:val="00765045"/>
    <w:rsid w:val="00766E5D"/>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7F66CC"/>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D6802"/>
    <w:rsid w:val="008E2073"/>
    <w:rsid w:val="008E3FD0"/>
    <w:rsid w:val="008E4047"/>
    <w:rsid w:val="008E671E"/>
    <w:rsid w:val="008E7AD1"/>
    <w:rsid w:val="008F671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3628B"/>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B55CE"/>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474C"/>
    <w:rsid w:val="00A47A13"/>
    <w:rsid w:val="00A5133E"/>
    <w:rsid w:val="00A53DD1"/>
    <w:rsid w:val="00A66F99"/>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91A64"/>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37326"/>
    <w:rsid w:val="00C400C3"/>
    <w:rsid w:val="00C44D22"/>
    <w:rsid w:val="00C455D4"/>
    <w:rsid w:val="00C56CDF"/>
    <w:rsid w:val="00C622FD"/>
    <w:rsid w:val="00C62BDF"/>
    <w:rsid w:val="00C630BC"/>
    <w:rsid w:val="00C63222"/>
    <w:rsid w:val="00C63593"/>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04DF"/>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E3DCD"/>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49D"/>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aliases w:val="мой"/>
    <w:basedOn w:val="a"/>
    <w:link w:val="ac"/>
    <w:uiPriority w:val="34"/>
    <w:qFormat/>
    <w:rsid w:val="00325B54"/>
    <w:pPr>
      <w:suppressAutoHyphens/>
      <w:ind w:left="720"/>
    </w:pPr>
    <w:rPr>
      <w:lang w:eastAsia="ar-SA"/>
    </w:rPr>
  </w:style>
  <w:style w:type="paragraph" w:styleId="ad">
    <w:name w:val="No Spacing"/>
    <w:link w:val="ae"/>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
    <w:name w:val="Subtitle"/>
    <w:basedOn w:val="a"/>
    <w:link w:val="af0"/>
    <w:qFormat/>
    <w:rsid w:val="00325B54"/>
    <w:pPr>
      <w:jc w:val="both"/>
    </w:pPr>
    <w:rPr>
      <w:szCs w:val="20"/>
    </w:rPr>
  </w:style>
  <w:style w:type="character" w:customStyle="1" w:styleId="af0">
    <w:name w:val="Подзаголовок Знак"/>
    <w:basedOn w:val="a0"/>
    <w:link w:val="af"/>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1">
    <w:name w:val="Title"/>
    <w:basedOn w:val="a"/>
    <w:link w:val="af2"/>
    <w:qFormat/>
    <w:rsid w:val="00325B54"/>
    <w:pPr>
      <w:jc w:val="center"/>
    </w:pPr>
    <w:rPr>
      <w:b/>
      <w:sz w:val="28"/>
      <w:szCs w:val="20"/>
      <w:u w:val="single"/>
    </w:rPr>
  </w:style>
  <w:style w:type="character" w:customStyle="1" w:styleId="af2">
    <w:name w:val="Название Знак"/>
    <w:basedOn w:val="a0"/>
    <w:link w:val="af1"/>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3">
    <w:name w:val="header"/>
    <w:basedOn w:val="a"/>
    <w:link w:val="af4"/>
    <w:rsid w:val="00325B54"/>
    <w:pPr>
      <w:tabs>
        <w:tab w:val="center" w:pos="4153"/>
        <w:tab w:val="right" w:pos="8306"/>
      </w:tabs>
    </w:pPr>
    <w:rPr>
      <w:sz w:val="20"/>
      <w:szCs w:val="20"/>
    </w:rPr>
  </w:style>
  <w:style w:type="character" w:customStyle="1" w:styleId="af4">
    <w:name w:val="Верхний колонтитул Знак"/>
    <w:basedOn w:val="a0"/>
    <w:link w:val="af3"/>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5">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6">
    <w:name w:val="Таблица шапка"/>
    <w:basedOn w:val="a"/>
    <w:rsid w:val="00325B54"/>
    <w:pPr>
      <w:keepNext/>
      <w:spacing w:before="40" w:after="40"/>
      <w:ind w:left="57" w:right="57"/>
    </w:pPr>
    <w:rPr>
      <w:sz w:val="18"/>
      <w:szCs w:val="18"/>
    </w:rPr>
  </w:style>
  <w:style w:type="paragraph" w:customStyle="1" w:styleId="af7">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8">
    <w:name w:val="footnote reference"/>
    <w:basedOn w:val="a0"/>
    <w:rsid w:val="00325B54"/>
    <w:rPr>
      <w:vertAlign w:val="superscript"/>
    </w:rPr>
  </w:style>
  <w:style w:type="paragraph" w:customStyle="1" w:styleId="af9">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a">
    <w:name w:val="page number"/>
    <w:basedOn w:val="a0"/>
    <w:rsid w:val="00325B54"/>
  </w:style>
  <w:style w:type="paragraph" w:styleId="afb">
    <w:name w:val="footer"/>
    <w:basedOn w:val="a"/>
    <w:link w:val="afc"/>
    <w:rsid w:val="00325B54"/>
    <w:pPr>
      <w:tabs>
        <w:tab w:val="center" w:pos="4677"/>
        <w:tab w:val="right" w:pos="9355"/>
      </w:tabs>
    </w:pPr>
  </w:style>
  <w:style w:type="character" w:customStyle="1" w:styleId="afc">
    <w:name w:val="Нижний колонтитул Знак"/>
    <w:basedOn w:val="a0"/>
    <w:link w:val="afb"/>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d">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e">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0">
    <w:name w:val="Символ нумерации"/>
    <w:rsid w:val="00325B54"/>
  </w:style>
  <w:style w:type="paragraph" w:customStyle="1" w:styleId="aff1">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2">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3">
    <w:name w:val="Раздел"/>
    <w:basedOn w:val="a"/>
    <w:next w:val="aff4"/>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4">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5">
    <w:name w:val="Содержимое таблицы"/>
    <w:basedOn w:val="a"/>
    <w:rsid w:val="00325B54"/>
    <w:pPr>
      <w:suppressLineNumbers/>
      <w:suppressAutoHyphens/>
    </w:pPr>
    <w:rPr>
      <w:sz w:val="20"/>
      <w:szCs w:val="20"/>
      <w:lang w:eastAsia="ar-SA"/>
    </w:rPr>
  </w:style>
  <w:style w:type="paragraph" w:customStyle="1" w:styleId="aff6">
    <w:name w:val="Заголовок таблицы"/>
    <w:basedOn w:val="aff5"/>
    <w:rsid w:val="00325B54"/>
    <w:pPr>
      <w:jc w:val="center"/>
    </w:pPr>
    <w:rPr>
      <w:b/>
      <w:bCs/>
    </w:rPr>
  </w:style>
  <w:style w:type="paragraph" w:customStyle="1" w:styleId="aff7">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8">
    <w:name w:val="Plain Text"/>
    <w:basedOn w:val="a"/>
    <w:link w:val="aff9"/>
    <w:rsid w:val="00325B54"/>
    <w:rPr>
      <w:rFonts w:ascii="Courier New" w:hAnsi="Courier New"/>
      <w:sz w:val="20"/>
      <w:szCs w:val="20"/>
    </w:rPr>
  </w:style>
  <w:style w:type="character" w:customStyle="1" w:styleId="aff9">
    <w:name w:val="Текст Знак"/>
    <w:basedOn w:val="a0"/>
    <w:link w:val="aff8"/>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a">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b">
    <w:name w:val="footnote text"/>
    <w:basedOn w:val="a"/>
    <w:link w:val="affc"/>
    <w:rsid w:val="00325B54"/>
    <w:rPr>
      <w:sz w:val="20"/>
      <w:szCs w:val="20"/>
    </w:rPr>
  </w:style>
  <w:style w:type="character" w:customStyle="1" w:styleId="affc">
    <w:name w:val="Текст сноски Знак"/>
    <w:basedOn w:val="a0"/>
    <w:link w:val="affb"/>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d">
    <w:name w:val="Цветовое выделение"/>
    <w:rsid w:val="00325B54"/>
    <w:rPr>
      <w:b/>
      <w:bCs/>
      <w:color w:val="26282F"/>
    </w:rPr>
  </w:style>
  <w:style w:type="paragraph" w:customStyle="1" w:styleId="affe">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
    <w:name w:val="Гипертекстовая ссылка"/>
    <w:basedOn w:val="affd"/>
    <w:rsid w:val="00325B54"/>
    <w:rPr>
      <w:color w:val="106BBE"/>
    </w:rPr>
  </w:style>
  <w:style w:type="paragraph" w:customStyle="1" w:styleId="afff0">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1">
    <w:name w:val="Информация об изменениях документа"/>
    <w:basedOn w:val="afff0"/>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 w:type="character" w:customStyle="1" w:styleId="ac">
    <w:name w:val="Абзац списка Знак"/>
    <w:aliases w:val="мой Знак"/>
    <w:basedOn w:val="a0"/>
    <w:link w:val="ab"/>
    <w:uiPriority w:val="34"/>
    <w:locked/>
    <w:rsid w:val="007F66CC"/>
    <w:rPr>
      <w:sz w:val="24"/>
      <w:szCs w:val="24"/>
      <w:lang w:eastAsia="ar-SA"/>
    </w:rPr>
  </w:style>
  <w:style w:type="character" w:customStyle="1" w:styleId="ae">
    <w:name w:val="Без интервала Знак"/>
    <w:link w:val="ad"/>
    <w:uiPriority w:val="1"/>
    <w:rsid w:val="007F66CC"/>
    <w:rPr>
      <w:sz w:val="24"/>
      <w:szCs w:val="24"/>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59093206">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8829679">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B9ED-059A-49E0-AEE6-C7EDBD11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2020-03-12T08:23:00Z</cp:lastPrinted>
  <dcterms:created xsi:type="dcterms:W3CDTF">2020-03-12T08:23:00Z</dcterms:created>
  <dcterms:modified xsi:type="dcterms:W3CDTF">2020-03-12T08:23:00Z</dcterms:modified>
</cp:coreProperties>
</file>