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B142B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 w:rsidR="00671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254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996682">
        <w:rPr>
          <w:rFonts w:ascii="Times New Roman" w:hAnsi="Times New Roman"/>
          <w:sz w:val="28"/>
          <w:szCs w:val="28"/>
        </w:rPr>
        <w:t>УАЗ 315302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указанный</w:t>
      </w:r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996682">
        <w:rPr>
          <w:rFonts w:ascii="Times New Roman" w:hAnsi="Times New Roman"/>
          <w:sz w:val="28"/>
          <w:szCs w:val="28"/>
        </w:rPr>
        <w:t xml:space="preserve"> УАЗ 315302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42BF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B142BF">
        <w:rPr>
          <w:rFonts w:ascii="Times New Roman" w:hAnsi="Times New Roman"/>
          <w:sz w:val="28"/>
          <w:szCs w:val="28"/>
        </w:rPr>
        <w:t>254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996682">
        <w:rPr>
          <w:rFonts w:ascii="Times New Roman" w:hAnsi="Times New Roman"/>
          <w:sz w:val="28"/>
          <w:szCs w:val="28"/>
        </w:rPr>
        <w:t>УАЗ 315302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996682">
        <w:rPr>
          <w:rFonts w:ascii="Times New Roman" w:hAnsi="Times New Roman"/>
          <w:sz w:val="28"/>
          <w:szCs w:val="28"/>
        </w:rPr>
        <w:t xml:space="preserve"> УАЗ 315302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A12">
        <w:rPr>
          <w:rFonts w:ascii="Times New Roman" w:hAnsi="Times New Roman"/>
          <w:sz w:val="28"/>
          <w:szCs w:val="28"/>
        </w:rPr>
        <w:t>пгт</w:t>
      </w:r>
      <w:proofErr w:type="spellEnd"/>
      <w:r w:rsidR="00C3536E">
        <w:rPr>
          <w:rFonts w:ascii="Times New Roman" w:hAnsi="Times New Roman"/>
          <w:sz w:val="28"/>
          <w:szCs w:val="28"/>
        </w:rPr>
        <w:t>.</w:t>
      </w:r>
      <w:r w:rsidR="00996682">
        <w:rPr>
          <w:rFonts w:ascii="Times New Roman" w:hAnsi="Times New Roman"/>
          <w:sz w:val="28"/>
          <w:szCs w:val="28"/>
        </w:rPr>
        <w:t xml:space="preserve"> Агинское</w:t>
      </w:r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996682">
        <w:rPr>
          <w:rFonts w:ascii="Times New Roman" w:hAnsi="Times New Roman"/>
          <w:sz w:val="28"/>
          <w:szCs w:val="28"/>
        </w:rPr>
        <w:t>4</w:t>
      </w:r>
      <w:r w:rsidR="00CD1E00">
        <w:rPr>
          <w:rFonts w:ascii="Times New Roman" w:hAnsi="Times New Roman"/>
          <w:sz w:val="28"/>
          <w:szCs w:val="28"/>
        </w:rPr>
        <w:t>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996682">
        <w:rPr>
          <w:rFonts w:ascii="Times New Roman" w:hAnsi="Times New Roman"/>
          <w:sz w:val="28"/>
          <w:szCs w:val="28"/>
        </w:rPr>
        <w:t>сорок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996682">
        <w:rPr>
          <w:rFonts w:ascii="Times New Roman" w:hAnsi="Times New Roman"/>
          <w:sz w:val="28"/>
          <w:szCs w:val="28"/>
        </w:rPr>
        <w:t>2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996682">
        <w:rPr>
          <w:rFonts w:ascii="Times New Roman" w:hAnsi="Times New Roman"/>
          <w:sz w:val="28"/>
          <w:szCs w:val="28"/>
        </w:rPr>
        <w:t>две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996682">
        <w:rPr>
          <w:rFonts w:ascii="Times New Roman" w:hAnsi="Times New Roman"/>
          <w:sz w:val="28"/>
          <w:szCs w:val="28"/>
        </w:rPr>
        <w:t>и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996682">
        <w:rPr>
          <w:rFonts w:ascii="Times New Roman" w:hAnsi="Times New Roman"/>
          <w:sz w:val="28"/>
          <w:szCs w:val="28"/>
        </w:rPr>
        <w:t>4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996682">
        <w:rPr>
          <w:rFonts w:ascii="Times New Roman" w:hAnsi="Times New Roman"/>
          <w:sz w:val="28"/>
          <w:szCs w:val="28"/>
        </w:rPr>
        <w:t>четыре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CD1E00">
        <w:rPr>
          <w:rFonts w:ascii="Times New Roman" w:hAnsi="Times New Roman"/>
          <w:sz w:val="28"/>
          <w:szCs w:val="28"/>
        </w:rPr>
        <w:t>и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B142BF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253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B142BF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253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996682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УАЗ 315302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996682" w:rsidP="00B7307D">
            <w:pPr>
              <w:pStyle w:val="a7"/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пгт</w:t>
            </w:r>
            <w:proofErr w:type="spellEnd"/>
            <w:r>
              <w:rPr>
                <w:color w:val="auto"/>
              </w:rPr>
              <w:t>. Агинское</w:t>
            </w:r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CD1E00">
              <w:t>легковой прочее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ТС:</w:t>
            </w:r>
            <w:r w:rsidR="00996682">
              <w:t xml:space="preserve"> УАЗ 315302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996682">
              <w:t>2003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CD1E00">
              <w:t xml:space="preserve"> </w:t>
            </w:r>
            <w:r w:rsidR="00996682">
              <w:t>ЗМЗ 41040</w:t>
            </w:r>
            <w:r w:rsidR="00996682">
              <w:rPr>
                <w:lang w:val="en-US"/>
              </w:rPr>
              <w:t>B</w:t>
            </w:r>
            <w:r w:rsidR="00CD1E00" w:rsidRPr="00CD1E00">
              <w:t xml:space="preserve"> </w:t>
            </w:r>
            <w:r w:rsidR="00996682" w:rsidRPr="00996682">
              <w:t>200932284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996682" w:rsidRPr="00996682">
              <w:t>31530030300003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996682">
              <w:rPr>
                <w:lang w:val="en-US"/>
              </w:rPr>
              <w:t xml:space="preserve">75 </w:t>
            </w:r>
            <w:r w:rsidR="00996682">
              <w:t>НВ</w:t>
            </w:r>
            <w:r w:rsidR="00996682">
              <w:rPr>
                <w:lang w:val="en-US"/>
              </w:rPr>
              <w:t xml:space="preserve"> 362137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B142BF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B142BF">
        <w:rPr>
          <w:rFonts w:ascii="Times New Roman" w:hAnsi="Times New Roman"/>
          <w:sz w:val="28"/>
          <w:szCs w:val="28"/>
        </w:rPr>
        <w:t>253</w:t>
      </w:r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CD1E00">
        <w:rPr>
          <w:rFonts w:ascii="Times New Roman" w:hAnsi="Times New Roman"/>
          <w:sz w:val="28"/>
          <w:szCs w:val="28"/>
        </w:rPr>
        <w:t>___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CD1E00">
        <w:rPr>
          <w:rFonts w:ascii="Times New Roman" w:hAnsi="Times New Roman"/>
          <w:sz w:val="28"/>
          <w:szCs w:val="28"/>
        </w:rPr>
        <w:t>___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</w:t>
      </w:r>
      <w:proofErr w:type="gramStart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ии ау</w:t>
      </w:r>
      <w:proofErr w:type="gramEnd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CD1E00">
        <w:rPr>
          <w:rFonts w:ascii="Times New Roman" w:hAnsi="Times New Roman"/>
          <w:bCs/>
          <w:spacing w:val="-6"/>
          <w:sz w:val="28"/>
          <w:szCs w:val="28"/>
        </w:rPr>
        <w:t>__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CD1E00">
        <w:rPr>
          <w:rFonts w:ascii="Times New Roman" w:hAnsi="Times New Roman"/>
          <w:bCs/>
          <w:spacing w:val="-6"/>
          <w:sz w:val="28"/>
          <w:szCs w:val="28"/>
        </w:rPr>
        <w:t xml:space="preserve"> № ___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proofErr w:type="gramStart"/>
      <w:r w:rsidR="00CD1E00">
        <w:t>Легковой</w:t>
      </w:r>
      <w:proofErr w:type="gramEnd"/>
      <w:r w:rsidR="00CD1E00">
        <w:t xml:space="preserve"> прочее</w:t>
      </w:r>
      <w:r w:rsidR="00A46101">
        <w:t>; м</w:t>
      </w:r>
      <w:r w:rsidR="00E36053">
        <w:t xml:space="preserve">арка, модель ТС: </w:t>
      </w:r>
      <w:r w:rsidR="00996682">
        <w:t>УАЗ 315302</w:t>
      </w:r>
      <w:r w:rsidR="00A46101">
        <w:t>; г</w:t>
      </w:r>
      <w:r w:rsidR="00E36053">
        <w:t xml:space="preserve">од изготовления ТС: </w:t>
      </w:r>
      <w:r w:rsidR="00996682">
        <w:t>2003</w:t>
      </w:r>
      <w:r w:rsidR="00A46101">
        <w:t>; м</w:t>
      </w:r>
      <w:r w:rsidR="00E36053">
        <w:t>одель, № двигателя:</w:t>
      </w:r>
      <w:r w:rsidR="00996682">
        <w:t xml:space="preserve"> ЗМЗ 41040В 200932284</w:t>
      </w:r>
      <w:r w:rsidR="00A46101">
        <w:t>; ш</w:t>
      </w:r>
      <w:r w:rsidR="00E36053">
        <w:t xml:space="preserve">асси, (рама) №: </w:t>
      </w:r>
      <w:r w:rsidR="00996682">
        <w:t>31530030300003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996682">
        <w:t>75 НВ 362137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>Техническое состояние –</w:t>
      </w:r>
      <w:r w:rsidR="000A7CC9" w:rsidRPr="00996682">
        <w:rPr>
          <w:spacing w:val="2"/>
        </w:rPr>
        <w:t xml:space="preserve"> </w:t>
      </w:r>
      <w:r w:rsidR="000A7CC9">
        <w:rPr>
          <w:spacing w:val="2"/>
        </w:rPr>
        <w:t>неудовлетворительное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96682">
        <w:rPr>
          <w:rFonts w:ascii="Times New Roman" w:hAnsi="Times New Roman"/>
          <w:spacing w:val="2"/>
          <w:sz w:val="28"/>
          <w:szCs w:val="28"/>
        </w:rPr>
        <w:t>4</w:t>
      </w:r>
      <w:r w:rsidR="000A7CC9">
        <w:rPr>
          <w:rFonts w:ascii="Times New Roman" w:hAnsi="Times New Roman"/>
          <w:spacing w:val="2"/>
          <w:sz w:val="28"/>
          <w:szCs w:val="28"/>
        </w:rPr>
        <w:t>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996682">
        <w:rPr>
          <w:rFonts w:ascii="Times New Roman" w:hAnsi="Times New Roman"/>
          <w:spacing w:val="2"/>
          <w:sz w:val="28"/>
          <w:szCs w:val="28"/>
        </w:rPr>
        <w:t>сорок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996682">
        <w:rPr>
          <w:rFonts w:ascii="Times New Roman" w:hAnsi="Times New Roman"/>
          <w:spacing w:val="2"/>
          <w:sz w:val="28"/>
          <w:szCs w:val="28"/>
        </w:rPr>
        <w:t xml:space="preserve"> 2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996682">
        <w:rPr>
          <w:rFonts w:ascii="Times New Roman" w:hAnsi="Times New Roman"/>
          <w:spacing w:val="2"/>
          <w:sz w:val="28"/>
          <w:szCs w:val="28"/>
        </w:rPr>
        <w:t>две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а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996682">
        <w:rPr>
          <w:rFonts w:ascii="Times New Roman" w:hAnsi="Times New Roman"/>
          <w:spacing w:val="2"/>
          <w:sz w:val="28"/>
          <w:szCs w:val="28"/>
        </w:rPr>
        <w:t>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996682">
        <w:rPr>
          <w:rFonts w:ascii="Times New Roman" w:hAnsi="Times New Roman"/>
          <w:spacing w:val="2"/>
          <w:sz w:val="28"/>
          <w:szCs w:val="28"/>
        </w:rPr>
        <w:t>четыре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0A7CC9">
        <w:rPr>
          <w:rFonts w:ascii="Times New Roman" w:hAnsi="Times New Roman"/>
          <w:spacing w:val="2"/>
          <w:sz w:val="28"/>
          <w:szCs w:val="28"/>
        </w:rPr>
        <w:t>и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Претендент обеспечивает поступление задатка в срок с </w:t>
      </w:r>
      <w:r w:rsidR="00156897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156897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156897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156897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156897">
        <w:rPr>
          <w:rFonts w:ascii="Times New Roman" w:hAnsi="Times New Roman"/>
          <w:sz w:val="28"/>
          <w:szCs w:val="28"/>
        </w:rPr>
        <w:t xml:space="preserve"> 20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156897">
        <w:rPr>
          <w:rFonts w:ascii="Times New Roman" w:hAnsi="Times New Roman"/>
          <w:sz w:val="28"/>
          <w:szCs w:val="28"/>
        </w:rPr>
        <w:t>21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156897">
        <w:rPr>
          <w:rFonts w:ascii="Times New Roman" w:hAnsi="Times New Roman"/>
          <w:sz w:val="28"/>
          <w:szCs w:val="28"/>
        </w:rPr>
        <w:t xml:space="preserve"> – 21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0" w:name="sub_161003"/>
      <w:bookmarkStart w:id="1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0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1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</w:t>
      </w:r>
      <w:bookmarkStart w:id="2" w:name="_GoBack"/>
      <w:bookmarkEnd w:id="2"/>
      <w:r w:rsidRPr="00BD2C9C">
        <w:rPr>
          <w:rFonts w:ascii="Times New Roman" w:hAnsi="Times New Roman"/>
          <w:sz w:val="28"/>
          <w:szCs w:val="28"/>
        </w:rPr>
        <w:t>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EE142C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 w:rsidRPr="00EE142C">
        <w:rPr>
          <w:sz w:val="28"/>
          <w:szCs w:val="28"/>
        </w:rPr>
        <w:t>Ранее аукцион по продаже данного муницип</w:t>
      </w:r>
      <w:r w:rsidR="00945C6A">
        <w:rPr>
          <w:sz w:val="28"/>
          <w:szCs w:val="28"/>
        </w:rPr>
        <w:t xml:space="preserve">ального имущества </w:t>
      </w:r>
      <w:r w:rsidR="00A46101">
        <w:rPr>
          <w:sz w:val="28"/>
          <w:szCs w:val="28"/>
        </w:rPr>
        <w:t>не проводился.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BF" w:rsidRPr="00EE142C" w:rsidRDefault="00B142B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B142BF" w:rsidRPr="00EE142C" w:rsidRDefault="00B142B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BF" w:rsidRPr="00EE142C" w:rsidRDefault="00B142B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B142BF" w:rsidRPr="00EE142C" w:rsidRDefault="00B142BF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B142BF" w:rsidRPr="00497295" w:rsidRDefault="00B142BF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B142BF" w:rsidRPr="00D25AD6" w:rsidRDefault="00B142BF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B142BF" w:rsidRPr="000F1D3E" w:rsidRDefault="00B142BF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A7CC9"/>
    <w:rsid w:val="000B15AB"/>
    <w:rsid w:val="000B7DAF"/>
    <w:rsid w:val="000D6870"/>
    <w:rsid w:val="000D7518"/>
    <w:rsid w:val="000D7941"/>
    <w:rsid w:val="000E21E0"/>
    <w:rsid w:val="000E2895"/>
    <w:rsid w:val="000E4750"/>
    <w:rsid w:val="000E7FCB"/>
    <w:rsid w:val="000F546D"/>
    <w:rsid w:val="00100EFF"/>
    <w:rsid w:val="00130ABF"/>
    <w:rsid w:val="00131A5E"/>
    <w:rsid w:val="0014018A"/>
    <w:rsid w:val="001550C8"/>
    <w:rsid w:val="00156897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A7B4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9268F"/>
    <w:rsid w:val="005966A4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17FD1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6161D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23892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6682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142BF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1E00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81887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B1FFD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35C0-87AC-4D2A-AE3A-2F620C93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6940</Words>
  <Characters>39560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2024-04-23T05:47:00Z</cp:lastPrinted>
  <dcterms:created xsi:type="dcterms:W3CDTF">2024-04-23T05:49:00Z</dcterms:created>
  <dcterms:modified xsi:type="dcterms:W3CDTF">2024-04-23T09:42:00Z</dcterms:modified>
</cp:coreProperties>
</file>