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9A" w:rsidRDefault="00853F5A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АГИНСКАЯ РАЙОННАЯ </w:t>
      </w:r>
    </w:p>
    <w:p w:rsidR="00853F5A" w:rsidRDefault="00853F5A" w:rsidP="006A0B9A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ТЕРРИТОРИАЛЬНАЯ ИЗБИРАТЕЛЬНАЯ КОМИССИЯ </w:t>
      </w:r>
    </w:p>
    <w:p w:rsidR="00853F5A" w:rsidRDefault="00853F5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ПОСТАНОВЛЕНИЕ</w:t>
      </w:r>
    </w:p>
    <w:p w:rsidR="00853F5A" w:rsidRDefault="00853F5A">
      <w:pPr>
        <w:spacing w:after="20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п. Агинское</w:t>
      </w:r>
    </w:p>
    <w:p w:rsidR="00F51CE0" w:rsidRPr="00F51CE0" w:rsidRDefault="00F51CE0" w:rsidP="00F51CE0">
      <w:pPr>
        <w:spacing w:after="200" w:line="360" w:lineRule="auto"/>
        <w:jc w:val="both"/>
        <w:rPr>
          <w:rFonts w:ascii="Times New Roman" w:hAnsi="Times New Roman"/>
          <w:color w:val="000000"/>
          <w:sz w:val="28"/>
        </w:rPr>
      </w:pPr>
      <w:r w:rsidRPr="00F51CE0">
        <w:rPr>
          <w:rFonts w:ascii="Times New Roman" w:hAnsi="Times New Roman"/>
          <w:color w:val="000000"/>
          <w:sz w:val="28"/>
        </w:rPr>
        <w:t>18 августа 2025 года</w:t>
      </w:r>
      <w:r w:rsidRPr="00F51CE0">
        <w:rPr>
          <w:rFonts w:ascii="Times New Roman" w:hAnsi="Times New Roman"/>
          <w:color w:val="000000"/>
          <w:sz w:val="28"/>
        </w:rPr>
        <w:tab/>
      </w:r>
      <w:r w:rsidRPr="00F51CE0">
        <w:rPr>
          <w:rFonts w:ascii="Times New Roman" w:hAnsi="Times New Roman"/>
          <w:color w:val="000000"/>
          <w:sz w:val="28"/>
        </w:rPr>
        <w:tab/>
      </w:r>
      <w:r w:rsidRPr="00F51CE0">
        <w:rPr>
          <w:rFonts w:ascii="Times New Roman" w:hAnsi="Times New Roman"/>
          <w:color w:val="000000"/>
          <w:sz w:val="28"/>
        </w:rPr>
        <w:tab/>
      </w:r>
      <w:r w:rsidRPr="00F51CE0">
        <w:rPr>
          <w:rFonts w:ascii="Times New Roman" w:hAnsi="Times New Roman"/>
          <w:color w:val="000000"/>
          <w:sz w:val="28"/>
        </w:rPr>
        <w:tab/>
      </w:r>
      <w:r w:rsidRPr="00F51CE0">
        <w:rPr>
          <w:rFonts w:ascii="Times New Roman" w:hAnsi="Times New Roman"/>
          <w:color w:val="000000"/>
          <w:sz w:val="28"/>
        </w:rPr>
        <w:tab/>
      </w:r>
      <w:r w:rsidRPr="00F51CE0">
        <w:rPr>
          <w:rFonts w:ascii="Times New Roman" w:hAnsi="Times New Roman"/>
          <w:color w:val="000000"/>
          <w:sz w:val="28"/>
        </w:rPr>
        <w:tab/>
        <w:t>№69</w:t>
      </w:r>
    </w:p>
    <w:p w:rsidR="00853F5A" w:rsidRDefault="00853F5A">
      <w:pPr>
        <w:spacing w:line="276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О проведении досрочного голосования отдельных групп избирателей на избирательных участках, образованных в труднодоступных или отдаленных местностях на дополнительных выборах </w:t>
      </w:r>
      <w:proofErr w:type="gramStart"/>
      <w:r>
        <w:rPr>
          <w:rFonts w:ascii="Times New Roman" w:hAnsi="Times New Roman"/>
          <w:b/>
          <w:color w:val="000000"/>
          <w:sz w:val="28"/>
        </w:rPr>
        <w:t>депутатов Совета первого созыва Агинского муниципального округа Забайкальского края</w:t>
      </w:r>
      <w:proofErr w:type="gramEnd"/>
    </w:p>
    <w:p w:rsidR="00853F5A" w:rsidRDefault="00853F5A">
      <w:pPr>
        <w:spacing w:line="276" w:lineRule="auto"/>
        <w:jc w:val="center"/>
      </w:pPr>
    </w:p>
    <w:p w:rsidR="00853F5A" w:rsidRDefault="00853F5A">
      <w:pPr>
        <w:spacing w:before="12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В соответствии со статьей 65 Федерального закона «Об основных гарантиях избирательных прав и права на участие в Референдуме граждан Российской Федерации», стать</w:t>
      </w:r>
      <w:r w:rsidR="00546624">
        <w:rPr>
          <w:rFonts w:ascii="Times New Roman" w:hAnsi="Times New Roman"/>
          <w:color w:val="000000"/>
          <w:sz w:val="28"/>
        </w:rPr>
        <w:t>ями 78,</w:t>
      </w:r>
      <w:r>
        <w:rPr>
          <w:rFonts w:ascii="Times New Roman" w:hAnsi="Times New Roman"/>
          <w:color w:val="000000"/>
          <w:sz w:val="28"/>
        </w:rPr>
        <w:t xml:space="preserve"> 78.1 Закона Забайкальского края от 6 июля 2010 г. № 385-ЗЗК «О муниципальных выборах в Забайкальском крае»,  Законом Забайкальского края от 7 мая 2013 г. № 818-ЗЗК «Об установлении применяемых при проведении голосования на выборах и референдумах, проводимых 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территории Забайкальского края, перечня труднодоступных и отдаленных местностей, а так же перечня мест, значительно удаленных</w:t>
      </w:r>
      <w:r w:rsidR="0026144A">
        <w:rPr>
          <w:rFonts w:ascii="Times New Roman" w:hAnsi="Times New Roman"/>
          <w:color w:val="000000"/>
          <w:sz w:val="28"/>
        </w:rPr>
        <w:t xml:space="preserve"> от помещения для голосования»</w:t>
      </w:r>
      <w:proofErr w:type="gramStart"/>
      <w:r w:rsidR="0026144A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А</w:t>
      </w:r>
      <w:proofErr w:type="gramEnd"/>
      <w:r>
        <w:rPr>
          <w:rFonts w:ascii="Times New Roman" w:hAnsi="Times New Roman"/>
          <w:color w:val="000000"/>
          <w:sz w:val="28"/>
        </w:rPr>
        <w:t>гинская районная территориальная избирательная комиссия</w:t>
      </w:r>
    </w:p>
    <w:p w:rsidR="00853F5A" w:rsidRDefault="00853F5A">
      <w:pPr>
        <w:spacing w:line="360" w:lineRule="auto"/>
        <w:jc w:val="center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п</w:t>
      </w:r>
      <w:proofErr w:type="gramEnd"/>
      <w:r>
        <w:rPr>
          <w:rFonts w:ascii="Times New Roman" w:hAnsi="Times New Roman"/>
          <w:b/>
          <w:i/>
          <w:color w:val="000000"/>
          <w:sz w:val="28"/>
        </w:rPr>
        <w:t xml:space="preserve"> о с т а н о в л я е т: </w:t>
      </w:r>
    </w:p>
    <w:p w:rsidR="00853F5A" w:rsidRDefault="00853F5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Разрешить </w:t>
      </w:r>
      <w:r w:rsidR="00F51CE0">
        <w:rPr>
          <w:rFonts w:ascii="Times New Roman" w:hAnsi="Times New Roman"/>
          <w:color w:val="000000"/>
          <w:sz w:val="28"/>
        </w:rPr>
        <w:t>12 сентября</w:t>
      </w:r>
      <w:r>
        <w:rPr>
          <w:rFonts w:ascii="Times New Roman" w:hAnsi="Times New Roman"/>
          <w:color w:val="000000"/>
          <w:sz w:val="28"/>
        </w:rPr>
        <w:t xml:space="preserve"> 2025 года провести досрочное голосование отдельных групп избирателей на избирательных участках, образованных в труднодоступных или отдаленных местностях в </w:t>
      </w:r>
      <w:r w:rsidRPr="009E7854">
        <w:rPr>
          <w:rFonts w:ascii="Times New Roman" w:hAnsi="Times New Roman"/>
          <w:color w:val="000000"/>
          <w:sz w:val="28"/>
        </w:rPr>
        <w:t>Агинском районе</w:t>
      </w:r>
      <w:r>
        <w:rPr>
          <w:rFonts w:ascii="Times New Roman" w:hAnsi="Times New Roman"/>
          <w:color w:val="000000"/>
          <w:sz w:val="28"/>
        </w:rPr>
        <w:t>Забайкальского края(далее – досрочное голосование), на избирательных участках согласно приложению № 1.</w:t>
      </w:r>
    </w:p>
    <w:p w:rsidR="00853F5A" w:rsidRPr="0026144A" w:rsidRDefault="00853F5A" w:rsidP="0026144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0000"/>
          <w:lang w:val="en-US"/>
        </w:rPr>
      </w:pPr>
      <w:r>
        <w:rPr>
          <w:rFonts w:ascii="Times New Roman" w:hAnsi="Times New Roman"/>
          <w:color w:val="000000"/>
          <w:sz w:val="28"/>
        </w:rPr>
        <w:t>2. Председателям участковых избирательных комиссий избирательных участков согласно приложению № 1:</w:t>
      </w:r>
    </w:p>
    <w:p w:rsidR="00853F5A" w:rsidRDefault="00853F5A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установить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обеспечением избирательных прав граждан при проведении досрочного голосования на избирательных участках, указанных в </w:t>
      </w:r>
      <w:r>
        <w:rPr>
          <w:rFonts w:ascii="Times New Roman" w:hAnsi="Times New Roman"/>
          <w:color w:val="000000"/>
          <w:sz w:val="28"/>
        </w:rPr>
        <w:lastRenderedPageBreak/>
        <w:t xml:space="preserve">пункте 1 настоящего постановления; </w:t>
      </w:r>
    </w:p>
    <w:p w:rsidR="00853F5A" w:rsidRDefault="00853F5A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оповестить избирателей через средства массовой информации или иным способом о дне, времени и месте досрочного голосования не </w:t>
      </w:r>
      <w:proofErr w:type="gramStart"/>
      <w:r>
        <w:rPr>
          <w:rFonts w:ascii="Times New Roman" w:hAnsi="Times New Roman"/>
          <w:color w:val="000000"/>
          <w:sz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</w:rPr>
        <w:t xml:space="preserve"> чем за пять дней до дня досрочного голосования;</w:t>
      </w:r>
    </w:p>
    <w:p w:rsidR="00853F5A" w:rsidRDefault="00853F5A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ежедневно по мере проведения досрочного голосования доводить до сведения Агинской районной территориальной избирательной комиссии по техническим каналам связи информацию о ходе его проведения;</w:t>
      </w:r>
    </w:p>
    <w:p w:rsidR="00853F5A" w:rsidRDefault="00853F5A" w:rsidP="0026144A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Не позднее дня, следующего за днем проведения досрочного голосования, направить в Избирательную комиссию Забайкальского края сведения согласно приложению № 2.</w:t>
      </w:r>
    </w:p>
    <w:p w:rsidR="00853F5A" w:rsidRDefault="00853F5A" w:rsidP="0026144A">
      <w:pPr>
        <w:spacing w:line="36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Довести настоящее постановление до сведения лиц, имеющих право присутствовать при проведении досрочного голосования в соответствии с частью 10 статьи 78.1 Закона Забайкальского края от 6 июля 2010 г. № 385-ЗЗК «О муниципальных выборах в Забайкальском крае» путем размещения настоящего постановления на официальном сайте </w:t>
      </w: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района «Агинский район» в разделе Агинская районная территориальная избирательная комиссия   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2527D1" w:rsidRDefault="002527D1">
      <w:pPr>
        <w:tabs>
          <w:tab w:val="left" w:pos="9586"/>
        </w:tabs>
        <w:spacing w:after="100"/>
        <w:rPr>
          <w:rFonts w:ascii="Times New Roman" w:hAnsi="Times New Roman"/>
          <w:color w:val="000000"/>
          <w:sz w:val="28"/>
        </w:rPr>
      </w:pPr>
    </w:p>
    <w:p w:rsidR="002527D1" w:rsidRDefault="002527D1">
      <w:pPr>
        <w:tabs>
          <w:tab w:val="left" w:pos="9586"/>
        </w:tabs>
        <w:spacing w:after="100"/>
        <w:rPr>
          <w:rFonts w:ascii="Times New Roman" w:hAnsi="Times New Roman"/>
          <w:color w:val="000000"/>
          <w:sz w:val="28"/>
        </w:rPr>
      </w:pPr>
    </w:p>
    <w:p w:rsidR="00F51CE0" w:rsidRDefault="00853F5A">
      <w:pPr>
        <w:tabs>
          <w:tab w:val="left" w:pos="9586"/>
        </w:tabs>
        <w:spacing w:after="10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Председатель </w:t>
      </w:r>
    </w:p>
    <w:p w:rsidR="00853F5A" w:rsidRDefault="00F51CE0">
      <w:pPr>
        <w:tabs>
          <w:tab w:val="left" w:pos="9586"/>
        </w:tabs>
        <w:spacing w:after="10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Избирательной </w:t>
      </w:r>
      <w:r w:rsidR="00853F5A">
        <w:rPr>
          <w:rFonts w:ascii="Times New Roman" w:hAnsi="Times New Roman"/>
          <w:color w:val="000000"/>
          <w:sz w:val="28"/>
        </w:rPr>
        <w:t xml:space="preserve">комиссии                                    </w:t>
      </w:r>
      <w:r w:rsidR="002527D1">
        <w:rPr>
          <w:rFonts w:ascii="Times New Roman" w:hAnsi="Times New Roman"/>
          <w:color w:val="000000"/>
          <w:sz w:val="28"/>
        </w:rPr>
        <w:t xml:space="preserve">                             </w:t>
      </w:r>
      <w:r w:rsidR="00853F5A">
        <w:rPr>
          <w:rFonts w:ascii="Times New Roman" w:hAnsi="Times New Roman"/>
          <w:color w:val="000000"/>
          <w:sz w:val="28"/>
        </w:rPr>
        <w:t xml:space="preserve"> М.Б. </w:t>
      </w:r>
      <w:proofErr w:type="spellStart"/>
      <w:r w:rsidR="00853F5A">
        <w:rPr>
          <w:rFonts w:ascii="Times New Roman" w:hAnsi="Times New Roman"/>
          <w:color w:val="000000"/>
          <w:sz w:val="28"/>
        </w:rPr>
        <w:t>Цыцыкова</w:t>
      </w:r>
      <w:proofErr w:type="spellEnd"/>
    </w:p>
    <w:p w:rsidR="00F51CE0" w:rsidRDefault="00F51CE0">
      <w:pPr>
        <w:spacing w:after="100"/>
        <w:ind w:right="-57"/>
        <w:rPr>
          <w:rFonts w:ascii="Times New Roman" w:hAnsi="Times New Roman"/>
          <w:color w:val="000000"/>
          <w:sz w:val="28"/>
        </w:rPr>
      </w:pPr>
    </w:p>
    <w:p w:rsidR="00F51CE0" w:rsidRDefault="00853F5A">
      <w:pPr>
        <w:spacing w:after="100"/>
        <w:ind w:right="-5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Секретарь </w:t>
      </w:r>
    </w:p>
    <w:p w:rsidR="00853F5A" w:rsidRDefault="00F51CE0">
      <w:pPr>
        <w:spacing w:after="100"/>
        <w:ind w:right="-57"/>
      </w:pPr>
      <w:r>
        <w:rPr>
          <w:rFonts w:ascii="Times New Roman" w:hAnsi="Times New Roman"/>
          <w:color w:val="000000"/>
          <w:sz w:val="28"/>
        </w:rPr>
        <w:t xml:space="preserve">Избирательной </w:t>
      </w:r>
      <w:r w:rsidR="00853F5A">
        <w:rPr>
          <w:rFonts w:ascii="Times New Roman" w:hAnsi="Times New Roman"/>
          <w:color w:val="000000"/>
          <w:sz w:val="28"/>
        </w:rPr>
        <w:t xml:space="preserve">комиссии                                                                  Б.Б. </w:t>
      </w:r>
      <w:proofErr w:type="spellStart"/>
      <w:r w:rsidR="00853F5A">
        <w:rPr>
          <w:rFonts w:ascii="Times New Roman" w:hAnsi="Times New Roman"/>
          <w:color w:val="000000"/>
          <w:sz w:val="28"/>
        </w:rPr>
        <w:t>Аюрова</w:t>
      </w:r>
      <w:proofErr w:type="spellEnd"/>
    </w:p>
    <w:p w:rsidR="00853F5A" w:rsidRDefault="00853F5A">
      <w:pPr>
        <w:spacing w:before="120" w:line="360" w:lineRule="auto"/>
        <w:ind w:firstLine="709"/>
        <w:jc w:val="center"/>
      </w:pPr>
      <w:bookmarkStart w:id="0" w:name="_GoBack"/>
      <w:bookmarkEnd w:id="0"/>
    </w:p>
    <w:p w:rsidR="0026144A" w:rsidRPr="00F51CE0" w:rsidRDefault="0026144A" w:rsidP="0026144A">
      <w:pPr>
        <w:tabs>
          <w:tab w:val="left" w:pos="948"/>
        </w:tabs>
        <w:jc w:val="center"/>
        <w:rPr>
          <w:rFonts w:ascii="Times New Roman" w:hAnsi="Times New Roman"/>
          <w:color w:val="000000"/>
          <w:sz w:val="24"/>
        </w:rPr>
        <w:sectPr w:rsidR="0026144A" w:rsidRPr="00F51CE0" w:rsidSect="0026144A">
          <w:pgSz w:w="11906" w:h="16838"/>
          <w:pgMar w:top="1134" w:right="1134" w:bottom="1134" w:left="1134" w:header="720" w:footer="720" w:gutter="0"/>
          <w:cols w:space="720"/>
          <w:docGrid w:linePitch="312" w:charSpace="-2049"/>
        </w:sectPr>
      </w:pPr>
    </w:p>
    <w:p w:rsidR="00853F5A" w:rsidRPr="009E7854" w:rsidRDefault="00853F5A" w:rsidP="0026144A">
      <w:pPr>
        <w:tabs>
          <w:tab w:val="left" w:pos="948"/>
        </w:tabs>
        <w:rPr>
          <w:rFonts w:ascii="Times New Roman" w:hAnsi="Times New Roman"/>
          <w:color w:val="000000"/>
          <w:sz w:val="24"/>
        </w:rPr>
      </w:pPr>
    </w:p>
    <w:p w:rsidR="00853F5A" w:rsidRDefault="00853F5A">
      <w:pPr>
        <w:tabs>
          <w:tab w:val="left" w:pos="948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                                                                                                                                 Приложение № 1</w:t>
      </w:r>
    </w:p>
    <w:p w:rsidR="00853F5A" w:rsidRDefault="00853F5A" w:rsidP="00F51CE0">
      <w:pPr>
        <w:tabs>
          <w:tab w:val="left" w:pos="948"/>
        </w:tabs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к постановлению Агинской районной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       территориальной избирательной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 xml:space="preserve">комиссии от </w:t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</w:r>
      <w:r w:rsidR="00F51CE0">
        <w:rPr>
          <w:rFonts w:ascii="Times New Roman" w:hAnsi="Times New Roman"/>
          <w:color w:val="000000"/>
          <w:sz w:val="24"/>
        </w:rPr>
        <w:tab/>
        <w:t xml:space="preserve">      18.08.</w:t>
      </w:r>
      <w:r>
        <w:rPr>
          <w:rFonts w:ascii="Times New Roman" w:hAnsi="Times New Roman"/>
          <w:color w:val="000000"/>
          <w:sz w:val="24"/>
        </w:rPr>
        <w:t xml:space="preserve">2025 г. № </w:t>
      </w:r>
      <w:r w:rsidR="00F51CE0">
        <w:rPr>
          <w:rFonts w:ascii="Times New Roman" w:hAnsi="Times New Roman"/>
          <w:color w:val="000000"/>
          <w:sz w:val="24"/>
        </w:rPr>
        <w:t>69</w:t>
      </w:r>
    </w:p>
    <w:p w:rsidR="00F51CE0" w:rsidRDefault="00F51CE0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853F5A" w:rsidRDefault="00853F5A">
      <w:pPr>
        <w:jc w:val="center"/>
      </w:pPr>
      <w:r>
        <w:rPr>
          <w:rFonts w:ascii="Times New Roman" w:hAnsi="Times New Roman"/>
          <w:b/>
          <w:color w:val="000000"/>
          <w:sz w:val="24"/>
        </w:rPr>
        <w:t xml:space="preserve">Перечень избирательных участков, на которых планируется проведение досрочного голосования отдельных групп избирателей на выборах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депутатов Совета первого созыва Агинского муниципального округа Забайкальского края</w:t>
      </w:r>
      <w:proofErr w:type="gramEnd"/>
    </w:p>
    <w:p w:rsidR="00853F5A" w:rsidRDefault="00853F5A">
      <w:pPr>
        <w:tabs>
          <w:tab w:val="left" w:pos="948"/>
        </w:tabs>
        <w:jc w:val="center"/>
      </w:pPr>
    </w:p>
    <w:tbl>
      <w:tblPr>
        <w:tblW w:w="16428" w:type="dxa"/>
        <w:jc w:val="center"/>
        <w:tblLayout w:type="fixed"/>
        <w:tblLook w:val="0000"/>
      </w:tblPr>
      <w:tblGrid>
        <w:gridCol w:w="1350"/>
        <w:gridCol w:w="1841"/>
        <w:gridCol w:w="2836"/>
        <w:gridCol w:w="2782"/>
        <w:gridCol w:w="1473"/>
        <w:gridCol w:w="1418"/>
        <w:gridCol w:w="1977"/>
        <w:gridCol w:w="1487"/>
        <w:gridCol w:w="1264"/>
      </w:tblGrid>
      <w:tr w:rsidR="00853F5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</w:t>
            </w:r>
          </w:p>
          <w:p w:rsidR="00853F5A" w:rsidRDefault="00853F5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УИК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spacing w:before="57" w:after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Кол-во</w:t>
            </w:r>
          </w:p>
          <w:p w:rsidR="00853F5A" w:rsidRDefault="00853F5A">
            <w:pPr>
              <w:spacing w:before="57" w:after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избирателей в списках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spacing w:before="57" w:after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Место расположения групп (или количество групп)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spacing w:before="57" w:after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деятельности</w:t>
            </w:r>
          </w:p>
          <w:p w:rsidR="00853F5A" w:rsidRDefault="00853F5A">
            <w:pPr>
              <w:spacing w:before="57" w:after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избирателей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spacing w:before="57" w:after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от УИК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spacing w:before="57" w:after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Вид транспорта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spacing w:before="57" w:after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Планируемая</w:t>
            </w:r>
          </w:p>
          <w:p w:rsidR="00853F5A" w:rsidRDefault="00853F5A">
            <w:pPr>
              <w:spacing w:before="57" w:after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</w:t>
            </w:r>
          </w:p>
          <w:p w:rsidR="00853F5A" w:rsidRDefault="00853F5A">
            <w:pPr>
              <w:spacing w:before="57" w:after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голосования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spacing w:before="57" w:after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Время в пути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Наличие</w:t>
            </w:r>
          </w:p>
          <w:p w:rsidR="00853F5A" w:rsidRDefault="00853F5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802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24 стоянки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6A0B9A">
            <w:pPr>
              <w:spacing w:before="57" w:after="5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803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стоянок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9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804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стоянки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805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стоянок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14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806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стоянок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807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стоянок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808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стоянки 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809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стоянок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9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стоянок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811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стоянок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812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>стоянки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14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813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стоянки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  <w:tr w:rsidR="006A0B9A" w:rsidTr="004C3F37">
        <w:trPr>
          <w:jc w:val="center"/>
        </w:trPr>
        <w:tc>
          <w:tcPr>
            <w:tcW w:w="13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815</w:t>
            </w:r>
          </w:p>
        </w:tc>
        <w:tc>
          <w:tcPr>
            <w:tcW w:w="18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656298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7673C">
              <w:rPr>
                <w:rFonts w:ascii="Times New Roman" w:hAnsi="Times New Roman"/>
                <w:sz w:val="24"/>
                <w:szCs w:val="24"/>
              </w:rPr>
              <w:t xml:space="preserve"> стоян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27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4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авто</w:t>
            </w:r>
          </w:p>
        </w:tc>
        <w:tc>
          <w:tcPr>
            <w:tcW w:w="1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>
            <w:r w:rsidRPr="009311D6">
              <w:rPr>
                <w:rFonts w:ascii="Times New Roman" w:hAnsi="Times New Roman"/>
                <w:color w:val="000000"/>
                <w:sz w:val="24"/>
              </w:rPr>
              <w:t>12.09.2025</w:t>
            </w:r>
          </w:p>
        </w:tc>
        <w:tc>
          <w:tcPr>
            <w:tcW w:w="14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Pr="00C7673C" w:rsidRDefault="006A0B9A" w:rsidP="005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3C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2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A0B9A" w:rsidRDefault="006A0B9A" w:rsidP="00516EB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сотовая</w:t>
            </w:r>
          </w:p>
        </w:tc>
      </w:tr>
    </w:tbl>
    <w:p w:rsidR="004C3F37" w:rsidRDefault="004C3F37">
      <w:pPr>
        <w:tabs>
          <w:tab w:val="left" w:pos="948"/>
        </w:tabs>
        <w:spacing w:line="252" w:lineRule="auto"/>
        <w:jc w:val="right"/>
      </w:pPr>
    </w:p>
    <w:p w:rsidR="004C3F37" w:rsidRDefault="004C3F37">
      <w:pPr>
        <w:tabs>
          <w:tab w:val="left" w:pos="948"/>
        </w:tabs>
        <w:spacing w:line="252" w:lineRule="auto"/>
        <w:jc w:val="right"/>
      </w:pPr>
    </w:p>
    <w:p w:rsidR="006A0B9A" w:rsidRDefault="006A0B9A">
      <w:pPr>
        <w:tabs>
          <w:tab w:val="left" w:pos="948"/>
        </w:tabs>
        <w:spacing w:line="252" w:lineRule="auto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6A0B9A" w:rsidRDefault="006A0B9A">
      <w:pPr>
        <w:tabs>
          <w:tab w:val="left" w:pos="948"/>
        </w:tabs>
        <w:spacing w:line="252" w:lineRule="auto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6A0B9A" w:rsidRDefault="006A0B9A">
      <w:pPr>
        <w:tabs>
          <w:tab w:val="left" w:pos="948"/>
        </w:tabs>
        <w:spacing w:line="252" w:lineRule="auto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6A0B9A" w:rsidRDefault="006A0B9A">
      <w:pPr>
        <w:tabs>
          <w:tab w:val="left" w:pos="948"/>
        </w:tabs>
        <w:spacing w:line="252" w:lineRule="auto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853F5A" w:rsidRDefault="00853F5A">
      <w:pPr>
        <w:tabs>
          <w:tab w:val="left" w:pos="948"/>
        </w:tabs>
        <w:spacing w:line="252" w:lineRule="auto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Приложение № 2</w:t>
      </w:r>
    </w:p>
    <w:p w:rsidR="00853F5A" w:rsidRDefault="00853F5A">
      <w:pPr>
        <w:tabs>
          <w:tab w:val="left" w:pos="948"/>
        </w:tabs>
        <w:ind w:left="8505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eastAsia="Calibri" w:hAnsi="Times New Roman" w:cs="Calibri"/>
          <w:color w:val="000000"/>
          <w:sz w:val="24"/>
          <w:szCs w:val="24"/>
        </w:rPr>
        <w:t>Агинской</w:t>
      </w:r>
      <w:proofErr w:type="gram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 районной </w:t>
      </w:r>
    </w:p>
    <w:p w:rsidR="00853F5A" w:rsidRDefault="00853F5A">
      <w:pPr>
        <w:tabs>
          <w:tab w:val="left" w:pos="948"/>
        </w:tabs>
        <w:ind w:left="8505"/>
        <w:jc w:val="right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территориальной избирательной комиссии</w:t>
      </w:r>
    </w:p>
    <w:p w:rsidR="00853F5A" w:rsidRDefault="00853F5A">
      <w:pPr>
        <w:tabs>
          <w:tab w:val="left" w:pos="948"/>
        </w:tabs>
        <w:ind w:left="850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от ___________2025 года №________</w:t>
      </w:r>
    </w:p>
    <w:p w:rsidR="00853F5A" w:rsidRDefault="00853F5A">
      <w:pPr>
        <w:jc w:val="right"/>
        <w:rPr>
          <w:rFonts w:ascii="Times New Roman" w:hAnsi="Times New Roman"/>
          <w:sz w:val="24"/>
          <w:szCs w:val="24"/>
        </w:rPr>
      </w:pPr>
    </w:p>
    <w:p w:rsidR="00853F5A" w:rsidRDefault="00853F5A">
      <w:pPr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>СВЕДЕНИЯ</w:t>
      </w:r>
    </w:p>
    <w:p w:rsidR="00853F5A" w:rsidRDefault="00853F5A">
      <w:pPr>
        <w:tabs>
          <w:tab w:val="left" w:pos="94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>о досрочном голосовании 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выборах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депутатов Совета первого созыва Агинского муниципального округа Забайкальского края</w:t>
      </w:r>
      <w:proofErr w:type="gramEnd"/>
    </w:p>
    <w:p w:rsidR="00853F5A" w:rsidRDefault="00853F5A">
      <w:pPr>
        <w:tabs>
          <w:tab w:val="left" w:pos="948"/>
        </w:tabs>
        <w:jc w:val="center"/>
        <w:rPr>
          <w:rFonts w:ascii="Times New Roman" w:hAnsi="Times New Roman"/>
          <w:sz w:val="24"/>
          <w:szCs w:val="24"/>
        </w:rPr>
      </w:pPr>
    </w:p>
    <w:p w:rsidR="00853F5A" w:rsidRDefault="00853F5A">
      <w:pPr>
        <w:tabs>
          <w:tab w:val="left" w:pos="94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i/>
          <w:color w:val="000000"/>
          <w:sz w:val="24"/>
          <w:szCs w:val="24"/>
        </w:rPr>
        <w:t>По состоянию на ____ ________2025 года</w:t>
      </w:r>
    </w:p>
    <w:p w:rsidR="00853F5A" w:rsidRDefault="00853F5A">
      <w:pPr>
        <w:ind w:right="-456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76" w:type="dxa"/>
        <w:tblLayout w:type="fixed"/>
        <w:tblLook w:val="0000"/>
      </w:tblPr>
      <w:tblGrid>
        <w:gridCol w:w="559"/>
        <w:gridCol w:w="859"/>
        <w:gridCol w:w="1023"/>
        <w:gridCol w:w="1241"/>
        <w:gridCol w:w="1527"/>
        <w:gridCol w:w="1146"/>
        <w:gridCol w:w="1636"/>
        <w:gridCol w:w="2100"/>
        <w:gridCol w:w="1814"/>
        <w:gridCol w:w="1868"/>
        <w:gridCol w:w="1920"/>
      </w:tblGrid>
      <w:tr w:rsidR="00853F5A">
        <w:trPr>
          <w:trHeight w:val="415"/>
        </w:trPr>
        <w:tc>
          <w:tcPr>
            <w:tcW w:w="559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9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Наименование ТИК</w:t>
            </w:r>
          </w:p>
        </w:tc>
        <w:tc>
          <w:tcPr>
            <w:tcW w:w="379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Участки для голосования, на которых проведено досрочное голосование всех избирателей</w:t>
            </w:r>
          </w:p>
        </w:tc>
        <w:tc>
          <w:tcPr>
            <w:tcW w:w="8564" w:type="dxa"/>
            <w:gridSpan w:val="5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 xml:space="preserve">Участки для голосования, на которых </w:t>
            </w:r>
          </w:p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 xml:space="preserve">проведено досрочное голосование отдельных групп избирателей </w:t>
            </w:r>
          </w:p>
        </w:tc>
        <w:tc>
          <w:tcPr>
            <w:tcW w:w="192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Виды транспорта, используемые для организации досрочного голосования</w:t>
            </w:r>
          </w:p>
        </w:tc>
      </w:tr>
      <w:tr w:rsidR="00853F5A">
        <w:trPr>
          <w:trHeight w:val="2278"/>
        </w:trPr>
        <w:tc>
          <w:tcPr>
            <w:tcW w:w="559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номера УИК</w:t>
            </w:r>
          </w:p>
        </w:tc>
        <w:tc>
          <w:tcPr>
            <w:tcW w:w="1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 xml:space="preserve">количество избирателей </w:t>
            </w:r>
          </w:p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в списках</w:t>
            </w:r>
          </w:p>
        </w:tc>
        <w:tc>
          <w:tcPr>
            <w:tcW w:w="1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количество избирателей, проголосовавших досрочно</w:t>
            </w:r>
          </w:p>
        </w:tc>
        <w:tc>
          <w:tcPr>
            <w:tcW w:w="11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номера УИК</w:t>
            </w:r>
          </w:p>
        </w:tc>
        <w:tc>
          <w:tcPr>
            <w:tcW w:w="16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количество избирателей в списках на УИК</w:t>
            </w:r>
          </w:p>
        </w:tc>
        <w:tc>
          <w:tcPr>
            <w:tcW w:w="21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количество отдельных групп избирателей</w:t>
            </w:r>
          </w:p>
        </w:tc>
        <w:tc>
          <w:tcPr>
            <w:tcW w:w="18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количество избирателей</w:t>
            </w:r>
          </w:p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 xml:space="preserve"> в отдельных группах</w:t>
            </w:r>
          </w:p>
        </w:tc>
        <w:tc>
          <w:tcPr>
            <w:tcW w:w="1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ind w:left="113" w:right="113"/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количество избирателей, проголосовавших досрочно</w:t>
            </w:r>
          </w:p>
        </w:tc>
        <w:tc>
          <w:tcPr>
            <w:tcW w:w="192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F5A">
        <w:tc>
          <w:tcPr>
            <w:tcW w:w="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F5A">
        <w:tc>
          <w:tcPr>
            <w:tcW w:w="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F5A">
        <w:tc>
          <w:tcPr>
            <w:tcW w:w="1418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3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853F5A" w:rsidRDefault="0085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F5A" w:rsidRDefault="00853F5A">
      <w:pPr>
        <w:rPr>
          <w:rFonts w:ascii="Times New Roman" w:hAnsi="Times New Roman"/>
          <w:sz w:val="24"/>
          <w:szCs w:val="24"/>
        </w:rPr>
      </w:pPr>
    </w:p>
    <w:p w:rsidR="00853F5A" w:rsidRDefault="00853F5A"/>
    <w:p w:rsidR="00853F5A" w:rsidRDefault="00853F5A"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Примечание: </w:t>
      </w:r>
      <w:r>
        <w:rPr>
          <w:rFonts w:ascii="Times New Roman" w:eastAsia="Calibri" w:hAnsi="Times New Roman" w:cs="Calibri"/>
          <w:i/>
          <w:color w:val="000000"/>
          <w:sz w:val="24"/>
          <w:szCs w:val="24"/>
        </w:rPr>
        <w:t>и</w:t>
      </w:r>
      <w:r>
        <w:rPr>
          <w:rFonts w:ascii="Times New Roman" w:eastAsia="Calibri" w:hAnsi="Times New Roman" w:cs="Calibri"/>
          <w:i/>
          <w:color w:val="000000"/>
          <w:sz w:val="24"/>
        </w:rPr>
        <w:t xml:space="preserve">нформация в формате </w:t>
      </w:r>
      <w:proofErr w:type="spellStart"/>
      <w:r>
        <w:rPr>
          <w:rFonts w:ascii="Times New Roman" w:eastAsia="Calibri" w:hAnsi="Times New Roman" w:cs="Calibri"/>
          <w:i/>
          <w:color w:val="000000"/>
          <w:sz w:val="24"/>
        </w:rPr>
        <w:t>Word</w:t>
      </w:r>
      <w:proofErr w:type="spellEnd"/>
      <w:r>
        <w:rPr>
          <w:rFonts w:ascii="Times New Roman" w:eastAsia="Calibri" w:hAnsi="Times New Roman" w:cs="Calibri"/>
          <w:i/>
          <w:color w:val="000000"/>
          <w:sz w:val="24"/>
        </w:rPr>
        <w:t xml:space="preserve"> направляется в Избирательную комиссию Забайкальского края по итогам каждого дня голосования к 12-00 следующего дня на </w:t>
      </w:r>
      <w:proofErr w:type="spellStart"/>
      <w:r>
        <w:rPr>
          <w:rFonts w:ascii="Times New Roman" w:eastAsia="Calibri" w:hAnsi="Times New Roman" w:cs="Calibri"/>
          <w:i/>
          <w:color w:val="000000"/>
          <w:sz w:val="24"/>
        </w:rPr>
        <w:t>Dipost</w:t>
      </w:r>
      <w:proofErr w:type="spellEnd"/>
      <w:r>
        <w:rPr>
          <w:rFonts w:ascii="Times New Roman" w:eastAsia="Calibri" w:hAnsi="Times New Roman" w:cs="Calibri"/>
          <w:i/>
          <w:color w:val="000000"/>
          <w:sz w:val="24"/>
        </w:rPr>
        <w:t xml:space="preserve"> (при невозможности - на </w:t>
      </w:r>
      <w:proofErr w:type="spellStart"/>
      <w:r>
        <w:rPr>
          <w:rFonts w:ascii="Times New Roman" w:eastAsia="Calibri" w:hAnsi="Times New Roman" w:cs="Calibri"/>
          <w:i/>
          <w:color w:val="000000"/>
          <w:sz w:val="24"/>
        </w:rPr>
        <w:t>e-mail</w:t>
      </w:r>
      <w:proofErr w:type="spellEnd"/>
      <w:r>
        <w:rPr>
          <w:rFonts w:ascii="Times New Roman" w:eastAsia="Calibri" w:hAnsi="Times New Roman" w:cs="Calibri"/>
          <w:i/>
          <w:color w:val="000000"/>
          <w:sz w:val="24"/>
        </w:rPr>
        <w:t xml:space="preserve">). Информация накопительная - старые данные сохраняются, новые данные выделяются </w:t>
      </w:r>
      <w:r>
        <w:rPr>
          <w:rFonts w:ascii="Times New Roman" w:eastAsia="Calibri" w:hAnsi="Times New Roman" w:cs="Calibri"/>
          <w:i/>
          <w:color w:val="FF0000"/>
          <w:sz w:val="24"/>
        </w:rPr>
        <w:t>красным цветом</w:t>
      </w:r>
      <w:r>
        <w:rPr>
          <w:rFonts w:ascii="Times New Roman" w:eastAsia="Calibri" w:hAnsi="Times New Roman" w:cs="Calibri"/>
          <w:i/>
          <w:color w:val="000000"/>
          <w:sz w:val="24"/>
        </w:rPr>
        <w:t>.</w:t>
      </w:r>
    </w:p>
    <w:p w:rsidR="00853F5A" w:rsidRDefault="00853F5A">
      <w:pPr>
        <w:spacing w:before="120" w:line="360" w:lineRule="auto"/>
        <w:ind w:firstLine="709"/>
        <w:jc w:val="both"/>
      </w:pPr>
    </w:p>
    <w:sectPr w:rsidR="00853F5A" w:rsidSect="0026144A">
      <w:pgSz w:w="16838" w:h="11906" w:orient="landscape"/>
      <w:pgMar w:top="1134" w:right="1134" w:bottom="1134" w:left="1134" w:header="720" w:footer="720" w:gutter="0"/>
      <w:cols w:space="720"/>
      <w:docGrid w:linePitch="312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4E9"/>
    <w:multiLevelType w:val="hybridMultilevel"/>
    <w:tmpl w:val="4C6298FC"/>
    <w:lvl w:ilvl="0" w:tplc="5A1EC918">
      <w:start w:val="1"/>
      <w:numFmt w:val="decimal"/>
      <w:lvlText w:val="%1."/>
      <w:lvlJc w:val="left"/>
      <w:pPr>
        <w:ind w:left="1260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isplayBackgroundShape/>
  <w:embedSystemFonts/>
  <w:mirrorMargins/>
  <w:proofState w:spelling="clean" w:grammar="clean"/>
  <w:stylePaneFormatFilter w:val="0000"/>
  <w:defaultTabStop w:val="1134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26144A"/>
    <w:rsid w:val="00164184"/>
    <w:rsid w:val="002527D1"/>
    <w:rsid w:val="0026144A"/>
    <w:rsid w:val="003F6491"/>
    <w:rsid w:val="004C3F37"/>
    <w:rsid w:val="00546624"/>
    <w:rsid w:val="006A0B9A"/>
    <w:rsid w:val="008303C6"/>
    <w:rsid w:val="00853F5A"/>
    <w:rsid w:val="009E7854"/>
    <w:rsid w:val="00C66A4D"/>
    <w:rsid w:val="00EE0A51"/>
    <w:rsid w:val="00F51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91"/>
    <w:pPr>
      <w:widowControl w:val="0"/>
      <w:suppressAutoHyphens/>
    </w:pPr>
    <w:rPr>
      <w:rFonts w:ascii="Calibri" w:hAnsi="Calibri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491"/>
    <w:rPr>
      <w:color w:val="000080"/>
      <w:u w:val="single"/>
    </w:rPr>
  </w:style>
  <w:style w:type="paragraph" w:customStyle="1" w:styleId="a4">
    <w:name w:val="Содержимое таблицы"/>
    <w:basedOn w:val="a"/>
    <w:rsid w:val="003F6491"/>
    <w:pPr>
      <w:suppressLineNumbers/>
    </w:pPr>
  </w:style>
  <w:style w:type="paragraph" w:styleId="2">
    <w:name w:val="Body Text Indent 2"/>
    <w:basedOn w:val="a"/>
    <w:link w:val="20"/>
    <w:uiPriority w:val="99"/>
    <w:semiHidden/>
    <w:unhideWhenUsed/>
    <w:rsid w:val="008303C6"/>
    <w:pPr>
      <w:spacing w:after="120" w:line="480" w:lineRule="auto"/>
      <w:ind w:left="283"/>
    </w:pPr>
    <w:rPr>
      <w:rFonts w:cs="Mangal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03C6"/>
    <w:rPr>
      <w:rFonts w:ascii="Calibri" w:hAnsi="Calibri" w:cs="Mangal"/>
      <w:sz w:val="22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303C6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303C6"/>
    <w:rPr>
      <w:rFonts w:ascii="Tahoma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КСП</cp:lastModifiedBy>
  <cp:revision>5</cp:revision>
  <cp:lastPrinted>2025-08-20T05:46:00Z</cp:lastPrinted>
  <dcterms:created xsi:type="dcterms:W3CDTF">2025-08-20T06:26:00Z</dcterms:created>
  <dcterms:modified xsi:type="dcterms:W3CDTF">2025-09-23T05:51:00Z</dcterms:modified>
</cp:coreProperties>
</file>