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7A" w:rsidRPr="00F22A7A" w:rsidRDefault="00F22A7A" w:rsidP="00F22A7A">
      <w:pPr>
        <w:pStyle w:val="60"/>
        <w:shd w:val="clear" w:color="auto" w:fill="auto"/>
        <w:spacing w:after="0" w:line="280" w:lineRule="exac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14 октября 2021                                                                                    № 501</w:t>
      </w:r>
    </w:p>
    <w:p w:rsidR="00FA38C5" w:rsidRPr="00FA38C5" w:rsidRDefault="00FA38C5" w:rsidP="00FA38C5">
      <w:pPr>
        <w:pStyle w:val="60"/>
        <w:shd w:val="clear" w:color="auto" w:fill="auto"/>
        <w:spacing w:after="0" w:line="280" w:lineRule="exact"/>
        <w:jc w:val="center"/>
        <w:rPr>
          <w:rFonts w:ascii="Times New Roman" w:hAnsi="Times New Roman" w:cs="Times New Roman"/>
        </w:rPr>
      </w:pPr>
      <w:r w:rsidRPr="00FA38C5">
        <w:rPr>
          <w:rFonts w:ascii="Times New Roman" w:hAnsi="Times New Roman" w:cs="Times New Roman"/>
        </w:rPr>
        <w:t>Муниципальная программа</w:t>
      </w:r>
    </w:p>
    <w:p w:rsidR="00FA38C5" w:rsidRPr="00FA38C5" w:rsidRDefault="00FA38C5" w:rsidP="00FA38C5">
      <w:pPr>
        <w:pStyle w:val="60"/>
        <w:shd w:val="clear" w:color="auto" w:fill="auto"/>
        <w:spacing w:after="0" w:line="280" w:lineRule="exact"/>
        <w:jc w:val="center"/>
        <w:rPr>
          <w:rFonts w:ascii="Times New Roman" w:hAnsi="Times New Roman" w:cs="Times New Roman"/>
        </w:rPr>
      </w:pPr>
      <w:r w:rsidRPr="00FA38C5">
        <w:rPr>
          <w:rFonts w:ascii="Times New Roman" w:hAnsi="Times New Roman" w:cs="Times New Roman"/>
        </w:rPr>
        <w:t>«Укрепление общественного здоровья на 2021 - 2024 годы»</w:t>
      </w:r>
    </w:p>
    <w:p w:rsidR="00FA38C5" w:rsidRPr="00FA38C5" w:rsidRDefault="00FA38C5" w:rsidP="00FA38C5">
      <w:pPr>
        <w:pStyle w:val="60"/>
        <w:shd w:val="clear" w:color="auto" w:fill="auto"/>
        <w:spacing w:after="0" w:line="280" w:lineRule="exact"/>
        <w:jc w:val="center"/>
        <w:rPr>
          <w:rFonts w:ascii="Times New Roman" w:hAnsi="Times New Roman" w:cs="Times New Roman"/>
        </w:rPr>
      </w:pPr>
    </w:p>
    <w:p w:rsidR="00FA38C5" w:rsidRPr="00FA38C5" w:rsidRDefault="00FA38C5" w:rsidP="00FA38C5">
      <w:pPr>
        <w:pStyle w:val="7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pStyle w:val="70"/>
        <w:shd w:val="clear" w:color="auto" w:fill="auto"/>
        <w:spacing w:after="380" w:line="2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1.  Акшинский район расположен в юго-западной части Забайкальского края. Граничит на севере с </w:t>
      </w:r>
      <w:proofErr w:type="spellStart"/>
      <w:r w:rsidRPr="00FA38C5">
        <w:rPr>
          <w:rFonts w:ascii="Times New Roman" w:hAnsi="Times New Roman" w:cs="Times New Roman"/>
          <w:sz w:val="28"/>
          <w:szCs w:val="28"/>
        </w:rPr>
        <w:t>Дульдургинским</w:t>
      </w:r>
      <w:proofErr w:type="spellEnd"/>
      <w:r w:rsidRPr="00FA38C5">
        <w:rPr>
          <w:rFonts w:ascii="Times New Roman" w:hAnsi="Times New Roman" w:cs="Times New Roman"/>
          <w:sz w:val="28"/>
          <w:szCs w:val="28"/>
        </w:rPr>
        <w:t xml:space="preserve">, на юге – с </w:t>
      </w:r>
      <w:proofErr w:type="spellStart"/>
      <w:r w:rsidRPr="00FA38C5">
        <w:rPr>
          <w:rFonts w:ascii="Times New Roman" w:hAnsi="Times New Roman" w:cs="Times New Roman"/>
          <w:sz w:val="28"/>
          <w:szCs w:val="28"/>
        </w:rPr>
        <w:t>Кыринским</w:t>
      </w:r>
      <w:proofErr w:type="spellEnd"/>
      <w:r w:rsidRPr="00FA38C5">
        <w:rPr>
          <w:rFonts w:ascii="Times New Roman" w:hAnsi="Times New Roman" w:cs="Times New Roman"/>
          <w:sz w:val="28"/>
          <w:szCs w:val="28"/>
        </w:rPr>
        <w:t xml:space="preserve">, на западе – с </w:t>
      </w:r>
      <w:proofErr w:type="spellStart"/>
      <w:r w:rsidRPr="00FA38C5">
        <w:rPr>
          <w:rFonts w:ascii="Times New Roman" w:hAnsi="Times New Roman" w:cs="Times New Roman"/>
          <w:sz w:val="28"/>
          <w:szCs w:val="28"/>
        </w:rPr>
        <w:t>Улетовским</w:t>
      </w:r>
      <w:proofErr w:type="spellEnd"/>
      <w:r w:rsidRPr="00FA38C5">
        <w:rPr>
          <w:rFonts w:ascii="Times New Roman" w:hAnsi="Times New Roman" w:cs="Times New Roman"/>
          <w:sz w:val="28"/>
          <w:szCs w:val="28"/>
        </w:rPr>
        <w:t xml:space="preserve">, на востоке- с </w:t>
      </w:r>
      <w:proofErr w:type="spellStart"/>
      <w:r w:rsidRPr="00FA38C5">
        <w:rPr>
          <w:rFonts w:ascii="Times New Roman" w:hAnsi="Times New Roman" w:cs="Times New Roman"/>
          <w:sz w:val="28"/>
          <w:szCs w:val="28"/>
        </w:rPr>
        <w:t>Ононским</w:t>
      </w:r>
      <w:proofErr w:type="spellEnd"/>
      <w:r w:rsidRPr="00FA38C5">
        <w:rPr>
          <w:rFonts w:ascii="Times New Roman" w:hAnsi="Times New Roman" w:cs="Times New Roman"/>
          <w:sz w:val="28"/>
          <w:szCs w:val="28"/>
        </w:rPr>
        <w:t xml:space="preserve"> районами. По юго-востоку района проходит участок государственной границы Российской Федерации и Монголии протяженность </w:t>
      </w:r>
      <w:smartTag w:uri="urn:schemas-microsoft-com:office:smarttags" w:element="metricconverter">
        <w:smartTagPr>
          <w:attr w:name="ProductID" w:val="54 км"/>
        </w:smartTagPr>
        <w:r w:rsidRPr="00FA38C5">
          <w:rPr>
            <w:rFonts w:ascii="Times New Roman" w:hAnsi="Times New Roman" w:cs="Times New Roman"/>
            <w:sz w:val="28"/>
            <w:szCs w:val="28"/>
          </w:rPr>
          <w:t>54 км</w:t>
        </w:r>
      </w:smartTag>
      <w:r w:rsidRPr="00FA38C5">
        <w:rPr>
          <w:rFonts w:ascii="Times New Roman" w:hAnsi="Times New Roman" w:cs="Times New Roman"/>
          <w:sz w:val="28"/>
          <w:szCs w:val="28"/>
        </w:rPr>
        <w:t>.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 Площадь района  7500 кв. км</w:t>
      </w:r>
      <w:proofErr w:type="gramStart"/>
      <w:r w:rsidRPr="00FA38C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A38C5">
        <w:rPr>
          <w:rFonts w:ascii="Times New Roman" w:hAnsi="Times New Roman" w:cs="Times New Roman"/>
          <w:sz w:val="28"/>
          <w:szCs w:val="28"/>
        </w:rPr>
        <w:t xml:space="preserve">на территории размещается 12 сельских поселений. 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 2. Численность населения по данным на 01.01.2020  8799 человек.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Женское население – 4516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Мужское – 4283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Трудоспособный возраст - 4043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33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Демографические характеристики (численность населения; половозрастная структура, количество трудоспособного населения);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 3. Заболеваемость и смертность от неинфекционных заболеваний в динамике не менее чем за 3 года, карта смертности трудоспособного населения;</w:t>
      </w:r>
    </w:p>
    <w:p w:rsidR="00FA38C5" w:rsidRPr="00FA38C5" w:rsidRDefault="00FA38C5" w:rsidP="00FA3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7"/>
        <w:gridCol w:w="973"/>
        <w:gridCol w:w="992"/>
        <w:gridCol w:w="1134"/>
        <w:gridCol w:w="2268"/>
      </w:tblGrid>
      <w:tr w:rsidR="00FA38C5" w:rsidRPr="00FA38C5" w:rsidTr="00710616">
        <w:trPr>
          <w:trHeight w:val="654"/>
        </w:trPr>
        <w:tc>
          <w:tcPr>
            <w:tcW w:w="2394" w:type="dxa"/>
            <w:vMerge w:val="restart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классов и отдельных болезней</w:t>
            </w:r>
          </w:p>
        </w:tc>
        <w:tc>
          <w:tcPr>
            <w:tcW w:w="5367" w:type="dxa"/>
            <w:gridSpan w:val="4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Заболеваемость на 1000 взрослого населения</w:t>
            </w:r>
          </w:p>
        </w:tc>
      </w:tr>
      <w:tr w:rsidR="00FA38C5" w:rsidRPr="00FA38C5" w:rsidTr="00710616">
        <w:trPr>
          <w:trHeight w:val="843"/>
        </w:trPr>
        <w:tc>
          <w:tcPr>
            <w:tcW w:w="0" w:type="auto"/>
            <w:vMerge/>
            <w:vAlign w:val="center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РФ  /СФО  2018г</w:t>
            </w:r>
          </w:p>
          <w:p w:rsidR="00FA38C5" w:rsidRPr="00FA38C5" w:rsidRDefault="00FA38C5" w:rsidP="007106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1695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1233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/1358/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825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Болезни эндокринной системы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88,3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86,2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в т. ч. Сахарный диабет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53,2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55,3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/35/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223,7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296,3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181,4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289/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266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Болезни, характеризующиеся повышенным кровяным давлением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127,5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161,5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101,7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123,6/150/105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ИБС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39,7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47,3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23,7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/27,6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/39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Острый инфаркт миокарда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1,35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/1,36/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1,48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Цереброваскулярные болезни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20,1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14,5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75,4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/63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/55,8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т. ч. ОНМК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4,1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/3,5/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110,1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131,4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141,8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/196/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Бронхиальная астма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16,6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18,3/16/18,2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ХОБЛ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22,7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23,3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10,9/12,9/9,6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51,5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11,2/14,6/11,09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в т. ч. Язва желудка  и ДПК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16,8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21,5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10,4/12,9/13,46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70,4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48,3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14,2/16,7/15,1</w:t>
            </w:r>
          </w:p>
        </w:tc>
      </w:tr>
      <w:tr w:rsidR="00FA38C5" w:rsidRPr="00FA38C5" w:rsidTr="00710616">
        <w:tc>
          <w:tcPr>
            <w:tcW w:w="239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973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992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  <w:tc>
          <w:tcPr>
            <w:tcW w:w="1134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1,3/1,5/1,1</w:t>
            </w:r>
          </w:p>
        </w:tc>
      </w:tr>
    </w:tbl>
    <w:p w:rsidR="00FA38C5" w:rsidRPr="00FA38C5" w:rsidRDefault="00FA38C5" w:rsidP="00FA38C5">
      <w:pPr>
        <w:pStyle w:val="21"/>
        <w:shd w:val="clear" w:color="auto" w:fill="auto"/>
        <w:tabs>
          <w:tab w:val="left" w:pos="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8C5">
        <w:rPr>
          <w:rFonts w:ascii="Times New Roman" w:hAnsi="Times New Roman" w:cs="Times New Roman"/>
          <w:b/>
          <w:bCs/>
          <w:sz w:val="28"/>
          <w:szCs w:val="28"/>
        </w:rPr>
        <w:t>Анализ смертности.</w:t>
      </w:r>
    </w:p>
    <w:p w:rsidR="00FA38C5" w:rsidRPr="00FA38C5" w:rsidRDefault="00FA38C5" w:rsidP="00FA38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9"/>
        <w:gridCol w:w="2123"/>
        <w:gridCol w:w="2390"/>
        <w:gridCol w:w="2006"/>
      </w:tblGrid>
      <w:tr w:rsidR="00FA38C5" w:rsidRPr="00FA38C5" w:rsidTr="00710616">
        <w:tc>
          <w:tcPr>
            <w:tcW w:w="2659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</w:tcPr>
          <w:p w:rsidR="00FA38C5" w:rsidRPr="00FA38C5" w:rsidRDefault="00FA38C5" w:rsidP="00710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390" w:type="dxa"/>
          </w:tcPr>
          <w:p w:rsidR="00FA38C5" w:rsidRPr="00FA38C5" w:rsidRDefault="00FA38C5" w:rsidP="00710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006" w:type="dxa"/>
          </w:tcPr>
          <w:p w:rsidR="00FA38C5" w:rsidRPr="00FA38C5" w:rsidRDefault="00FA38C5" w:rsidP="00710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FA38C5" w:rsidRPr="00FA38C5" w:rsidTr="00710616">
        <w:tc>
          <w:tcPr>
            <w:tcW w:w="2659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Всего умерших от всех причин из них:</w:t>
            </w:r>
          </w:p>
        </w:tc>
        <w:tc>
          <w:tcPr>
            <w:tcW w:w="2123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 131 </w:t>
            </w:r>
            <w:proofErr w:type="spellStart"/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2390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   139 </w:t>
            </w:r>
            <w:proofErr w:type="spellStart"/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  <w:tc>
          <w:tcPr>
            <w:tcW w:w="2006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146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/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144 </w:t>
            </w:r>
            <w:proofErr w:type="spellStart"/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взр</w:t>
            </w:r>
            <w:proofErr w:type="spellEnd"/>
          </w:p>
        </w:tc>
      </w:tr>
      <w:tr w:rsidR="00FA38C5" w:rsidRPr="00FA38C5" w:rsidTr="00710616">
        <w:tc>
          <w:tcPr>
            <w:tcW w:w="2659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Всего умерло трудоспособного возраста/ смертность на 100 тыс. населения </w:t>
            </w:r>
          </w:p>
        </w:tc>
        <w:tc>
          <w:tcPr>
            <w:tcW w:w="2123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31/342,0</w:t>
            </w:r>
          </w:p>
        </w:tc>
        <w:tc>
          <w:tcPr>
            <w:tcW w:w="2390" w:type="dxa"/>
          </w:tcPr>
          <w:p w:rsidR="00FA38C5" w:rsidRPr="00FA38C5" w:rsidRDefault="00FA38C5" w:rsidP="00710616">
            <w:pPr>
              <w:tabs>
                <w:tab w:val="center" w:pos="108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42/ 467,7</w:t>
            </w:r>
          </w:p>
        </w:tc>
        <w:tc>
          <w:tcPr>
            <w:tcW w:w="2006" w:type="dxa"/>
          </w:tcPr>
          <w:p w:rsidR="00FA38C5" w:rsidRPr="00FA38C5" w:rsidRDefault="00FA38C5" w:rsidP="0071061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48/547,2</w:t>
            </w:r>
          </w:p>
        </w:tc>
      </w:tr>
      <w:tr w:rsidR="00FA38C5" w:rsidRPr="00FA38C5" w:rsidTr="00710616">
        <w:tc>
          <w:tcPr>
            <w:tcW w:w="2659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смертности системы кровообращения </w:t>
            </w:r>
            <w:proofErr w:type="spellStart"/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gramStart"/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озр</w:t>
            </w:r>
            <w:proofErr w:type="spellEnd"/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 на 100 тыс. населения</w:t>
            </w:r>
          </w:p>
        </w:tc>
        <w:tc>
          <w:tcPr>
            <w:tcW w:w="2123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9/ 99,2</w:t>
            </w:r>
          </w:p>
        </w:tc>
        <w:tc>
          <w:tcPr>
            <w:tcW w:w="2390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14/ 155,4</w:t>
            </w:r>
          </w:p>
        </w:tc>
        <w:tc>
          <w:tcPr>
            <w:tcW w:w="2006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21/ 239,4</w:t>
            </w:r>
          </w:p>
        </w:tc>
      </w:tr>
      <w:tr w:rsidR="00FA38C5" w:rsidRPr="00FA38C5" w:rsidTr="00710616">
        <w:tc>
          <w:tcPr>
            <w:tcW w:w="2659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Показатель смертности от инфаркта миокарда на 100 тыс. населения</w:t>
            </w:r>
          </w:p>
        </w:tc>
        <w:tc>
          <w:tcPr>
            <w:tcW w:w="2123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44,1</w:t>
            </w:r>
          </w:p>
        </w:tc>
        <w:tc>
          <w:tcPr>
            <w:tcW w:w="2390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006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34,2 </w:t>
            </w:r>
          </w:p>
        </w:tc>
      </w:tr>
      <w:tr w:rsidR="00FA38C5" w:rsidRPr="00FA38C5" w:rsidTr="00710616">
        <w:tc>
          <w:tcPr>
            <w:tcW w:w="2659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Показатель смертности от ОНМК на 100 тыс. населения</w:t>
            </w:r>
          </w:p>
        </w:tc>
        <w:tc>
          <w:tcPr>
            <w:tcW w:w="2123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0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2006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45,6 </w:t>
            </w:r>
          </w:p>
        </w:tc>
      </w:tr>
      <w:tr w:rsidR="00FA38C5" w:rsidRPr="00FA38C5" w:rsidTr="00710616">
        <w:tc>
          <w:tcPr>
            <w:tcW w:w="2659" w:type="dxa"/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Показатель смертности от пневмоний  на 100 тыс. населения</w:t>
            </w:r>
          </w:p>
        </w:tc>
        <w:tc>
          <w:tcPr>
            <w:tcW w:w="2123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2390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2006" w:type="dxa"/>
          </w:tcPr>
          <w:p w:rsidR="00FA38C5" w:rsidRPr="00FA38C5" w:rsidRDefault="00FA38C5" w:rsidP="007106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3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34,2 </w:t>
            </w:r>
          </w:p>
        </w:tc>
      </w:tr>
    </w:tbl>
    <w:p w:rsidR="00FA38C5" w:rsidRPr="00FA38C5" w:rsidRDefault="00FA38C5" w:rsidP="00FA38C5">
      <w:pPr>
        <w:pStyle w:val="21"/>
        <w:shd w:val="clear" w:color="auto" w:fill="auto"/>
        <w:tabs>
          <w:tab w:val="left" w:pos="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8C5">
        <w:rPr>
          <w:rFonts w:ascii="Times New Roman" w:hAnsi="Times New Roman" w:cs="Times New Roman"/>
          <w:bCs/>
          <w:sz w:val="28"/>
          <w:szCs w:val="28"/>
        </w:rPr>
        <w:t xml:space="preserve">Структура причин смертности  населения в Забайкальском крае соответствует структуре смертности в РФ. </w:t>
      </w:r>
    </w:p>
    <w:p w:rsidR="00FA38C5" w:rsidRPr="00FA38C5" w:rsidRDefault="00FA38C5" w:rsidP="00FA38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8C5">
        <w:rPr>
          <w:rFonts w:ascii="Times New Roman" w:hAnsi="Times New Roman" w:cs="Times New Roman"/>
          <w:bCs/>
          <w:sz w:val="28"/>
          <w:szCs w:val="28"/>
        </w:rPr>
        <w:t>В Забайкальском крае</w:t>
      </w:r>
    </w:p>
    <w:p w:rsidR="00FA38C5" w:rsidRPr="00FA38C5" w:rsidRDefault="00FA38C5" w:rsidP="00FA38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8C5">
        <w:rPr>
          <w:rFonts w:ascii="Times New Roman" w:hAnsi="Times New Roman" w:cs="Times New Roman"/>
          <w:bCs/>
          <w:sz w:val="28"/>
          <w:szCs w:val="28"/>
        </w:rPr>
        <w:t xml:space="preserve">1-место занимает смертность от сердечно сосудистой системы- 40,9 %, </w:t>
      </w:r>
    </w:p>
    <w:p w:rsidR="00FA38C5" w:rsidRPr="00FA38C5" w:rsidRDefault="00FA38C5" w:rsidP="00FA38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8C5">
        <w:rPr>
          <w:rFonts w:ascii="Times New Roman" w:hAnsi="Times New Roman" w:cs="Times New Roman"/>
          <w:bCs/>
          <w:sz w:val="28"/>
          <w:szCs w:val="28"/>
        </w:rPr>
        <w:t>2- место от новообразований - 16,2 %,</w:t>
      </w:r>
    </w:p>
    <w:p w:rsidR="00FA38C5" w:rsidRPr="00FA38C5" w:rsidRDefault="00FA38C5" w:rsidP="00FA3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bCs/>
          <w:sz w:val="28"/>
          <w:szCs w:val="28"/>
        </w:rPr>
        <w:t>3- место от внешних причин - 12,7 %.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0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 4. Оценка репродуктивного здоровья населения, заболеваемость инфекциями, передающимися половым путем; 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Женщин фертильного возраста: 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2018 год – 1668;           2019 год -  1656;         2020 год- 1625  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005"/>
        <w:gridCol w:w="992"/>
        <w:gridCol w:w="1133"/>
        <w:gridCol w:w="990"/>
        <w:gridCol w:w="1045"/>
        <w:gridCol w:w="1263"/>
      </w:tblGrid>
      <w:tr w:rsidR="00FA38C5" w:rsidRPr="00FA38C5" w:rsidTr="00710616">
        <w:trPr>
          <w:trHeight w:val="65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2018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2019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2020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ЗК 2019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РФ 2019</w:t>
            </w:r>
          </w:p>
        </w:tc>
      </w:tr>
      <w:tr w:rsidR="00FA38C5" w:rsidRPr="00FA38C5" w:rsidTr="00710616"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Закончили беременность всего,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103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98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109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11977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1379461</w:t>
            </w:r>
          </w:p>
        </w:tc>
      </w:tr>
      <w:tr w:rsidR="00FA38C5" w:rsidRPr="00FA38C5" w:rsidTr="00710616"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в том числе: родами в срок</w:t>
            </w:r>
            <w:proofErr w:type="gramStart"/>
            <w:r w:rsidRPr="00FA38C5">
              <w:rPr>
                <w:rStyle w:val="FontStyle77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97,1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86,4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95,4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90,6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91,4</w:t>
            </w:r>
          </w:p>
        </w:tc>
      </w:tr>
      <w:tr w:rsidR="00FA38C5" w:rsidRPr="00FA38C5" w:rsidTr="00710616"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преждевременными родами</w:t>
            </w:r>
            <w:proofErr w:type="gramStart"/>
            <w:r w:rsidRPr="00FA38C5">
              <w:rPr>
                <w:rStyle w:val="FontStyle77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2,9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8,1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2,75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5,7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4,5</w:t>
            </w:r>
          </w:p>
        </w:tc>
      </w:tr>
      <w:tr w:rsidR="00FA38C5" w:rsidRPr="00FA38C5" w:rsidTr="00710616"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абортами</w:t>
            </w:r>
            <w:proofErr w:type="gramStart"/>
            <w:r w:rsidRPr="00FA38C5">
              <w:rPr>
                <w:rStyle w:val="FontStyle77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6,7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5,1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1,8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3,7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5" w:rsidRPr="00FA38C5" w:rsidRDefault="00FA38C5" w:rsidP="00710616">
            <w:pPr>
              <w:pStyle w:val="Style22"/>
              <w:widowControl/>
              <w:spacing w:line="240" w:lineRule="auto"/>
              <w:jc w:val="center"/>
              <w:rPr>
                <w:rStyle w:val="FontStyle77"/>
                <w:sz w:val="28"/>
                <w:szCs w:val="28"/>
              </w:rPr>
            </w:pPr>
            <w:r w:rsidRPr="00FA38C5">
              <w:rPr>
                <w:rStyle w:val="FontStyle77"/>
                <w:sz w:val="28"/>
                <w:szCs w:val="28"/>
              </w:rPr>
              <w:t>4,1</w:t>
            </w:r>
          </w:p>
        </w:tc>
      </w:tr>
    </w:tbl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За 2020 года инфекций передающихся половым путем – не зарегистрировано. В ГУЗ «Акшинская ЦРБ» нет врача </w:t>
      </w:r>
      <w:proofErr w:type="spellStart"/>
      <w:r w:rsidRPr="00FA38C5"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  <w:r w:rsidRPr="00FA3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 5. Оценка стоматологического здоровья населения;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2020 году дети от 0-17 лет осмотрены детским стоматологом выездной бригадой и стоматологом ГУЗ «Акшинская ЦРБ» - 2893 человека. Нуждалось в лечении с заболеваниями зубов – 678 детей и получили лечение – 587 детей 85 %. Для улучшения качества оказания стоматологической помощи необходимо укомплектовать врачебными кадрами  ГУЗ «Акшинская ЦРБ» а так же необходимо приобрести стоматологическую установку для второго стоматологического  кабинета.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 В течени</w:t>
      </w:r>
      <w:proofErr w:type="gramStart"/>
      <w:r w:rsidRPr="00FA38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38C5">
        <w:rPr>
          <w:rFonts w:ascii="Times New Roman" w:hAnsi="Times New Roman" w:cs="Times New Roman"/>
          <w:sz w:val="28"/>
          <w:szCs w:val="28"/>
        </w:rPr>
        <w:t xml:space="preserve"> года осмотрено  взрослых  - 2400 из них нуждалось в лечении – 1860 человек. Пролечено – 1852 человека – 99 %.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 6. Общая характеристика системы общественного здоровья;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Доступность имеющихся ресурсов в области общественного здоровья (число центров здоровья, кабинетов и отделений медицинской профилактики в медицинских организациях, число спортивных площадок и сооружений в муниципальном район</w:t>
      </w:r>
      <w:proofErr w:type="gramStart"/>
      <w:r w:rsidRPr="00FA38C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A38C5">
        <w:rPr>
          <w:rFonts w:ascii="Times New Roman" w:hAnsi="Times New Roman" w:cs="Times New Roman"/>
          <w:sz w:val="28"/>
          <w:szCs w:val="28"/>
        </w:rPr>
        <w:t>городском округе)и др.);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На базе Акшинской ЦРБ имеется  кабинет медицинской профилактики,  участвующий в проведении диспансеризации взрослого населения, а также профилактических осмотров неработающего населения и медицинских работников данной организации. Диспансеризация проводится всем </w:t>
      </w:r>
      <w:r w:rsidRPr="00FA38C5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медицинским работникам. 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В с.Акша имеется детская юношеская спортивная школа, где  проходят  групповые занятия с тренером, </w:t>
      </w:r>
      <w:proofErr w:type="gramStart"/>
      <w:r w:rsidRPr="00FA38C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A38C5">
        <w:rPr>
          <w:rFonts w:ascii="Times New Roman" w:hAnsi="Times New Roman" w:cs="Times New Roman"/>
          <w:sz w:val="28"/>
          <w:szCs w:val="28"/>
        </w:rPr>
        <w:t xml:space="preserve"> возрастных групп.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Также имеется стадион, где ежегодно проводятся различные спортивные мероприятия, праздники Здоровья, с участием команды медицинских работников.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25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 7.Основные социально-экономические показатели, включая число убийств на 100 тыс., ДТП, количество подростков, находящихся на учете по делам несовершеннолетних;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 Смертность от убийств на 1000 тыс. населения – 34,2 /3 человека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От самоубийств – 45,6/4 чел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ДТП – 228/ 2 человека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 8. Распространенность факторов риска развития неинфекционных заболеваний (курение, потребление алкоголя, низкая физическая активность, нездоровое питание, артериальная гипертония, </w:t>
      </w:r>
      <w:proofErr w:type="spellStart"/>
      <w:r w:rsidRPr="00FA38C5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FA38C5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ожирение, стресс и др.) по итогам диспансеризации, либо проведённых социологических исследований;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За 2020 год  при проведении диспансеризации взрослого населения осмотрено – 1117 человек. Выявлены факторы риска</w:t>
      </w:r>
      <w:proofErr w:type="gramStart"/>
      <w:r w:rsidRPr="00FA38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артериальная гипертония – 303  чел/ 27 %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избыточная масса тела и ожирение – 256 чел/ 22,9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курение – 298 чело/ 26,6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низкая физическая активность – 260 чел / 23,2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нездоровое питание – 253 чел / 22,6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8C5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FA38C5">
        <w:rPr>
          <w:rFonts w:ascii="Times New Roman" w:hAnsi="Times New Roman" w:cs="Times New Roman"/>
          <w:sz w:val="28"/>
          <w:szCs w:val="28"/>
        </w:rPr>
        <w:t>- 72 чел / 6,4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гипергликемия – 72 чел / 6,4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8C5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FA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8C5">
        <w:rPr>
          <w:rFonts w:ascii="Times New Roman" w:hAnsi="Times New Roman" w:cs="Times New Roman"/>
          <w:sz w:val="28"/>
          <w:szCs w:val="28"/>
        </w:rPr>
        <w:t>сердечно-сосудистый</w:t>
      </w:r>
      <w:proofErr w:type="spellEnd"/>
      <w:r w:rsidRPr="00FA38C5">
        <w:rPr>
          <w:rFonts w:ascii="Times New Roman" w:hAnsi="Times New Roman" w:cs="Times New Roman"/>
          <w:sz w:val="28"/>
          <w:szCs w:val="28"/>
        </w:rPr>
        <w:t xml:space="preserve"> риск – 281 чел – 25,1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FA38C5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FA3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8C5">
        <w:rPr>
          <w:rFonts w:ascii="Times New Roman" w:hAnsi="Times New Roman" w:cs="Times New Roman"/>
          <w:sz w:val="28"/>
          <w:szCs w:val="28"/>
        </w:rPr>
        <w:t>сердечно-сосудистый</w:t>
      </w:r>
      <w:proofErr w:type="spellEnd"/>
      <w:r w:rsidRPr="00FA38C5">
        <w:rPr>
          <w:rFonts w:ascii="Times New Roman" w:hAnsi="Times New Roman" w:cs="Times New Roman"/>
          <w:sz w:val="28"/>
          <w:szCs w:val="28"/>
        </w:rPr>
        <w:t xml:space="preserve"> риск – 45 чел /4,0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8C5">
        <w:rPr>
          <w:rFonts w:ascii="Times New Roman" w:hAnsi="Times New Roman" w:cs="Times New Roman"/>
          <w:sz w:val="28"/>
          <w:szCs w:val="28"/>
        </w:rPr>
        <w:t>онконастороженность</w:t>
      </w:r>
      <w:proofErr w:type="spellEnd"/>
      <w:r w:rsidRPr="00FA38C5">
        <w:rPr>
          <w:rFonts w:ascii="Times New Roman" w:hAnsi="Times New Roman" w:cs="Times New Roman"/>
          <w:sz w:val="28"/>
          <w:szCs w:val="28"/>
        </w:rPr>
        <w:t xml:space="preserve">  - 262 чел/ 23,4      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after="332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  9. Наличие волонтерских объединений и некоммерческих организаций.</w:t>
      </w:r>
      <w:bookmarkStart w:id="0" w:name="bookmark7"/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after="332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Проучены волонтеры школьники на базе КЦМП, создана группа волонтеров из медицинских работников, для проведения массовых мероприятий по укреплению общественного здоровья.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after="332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 xml:space="preserve">     10. Основные разработчики и исполнители муниципальной программы, являются Администрация муниципального района « Акшинский район» совместно соисполнителем (по согласованию) ГУЗ Акшинская ЦРБ  </w:t>
      </w: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after="332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8C5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  <w:bookmarkEnd w:id="0"/>
    </w:p>
    <w:p w:rsidR="00FA38C5" w:rsidRPr="00FA38C5" w:rsidRDefault="00FA38C5" w:rsidP="00FA38C5">
      <w:pPr>
        <w:pStyle w:val="21"/>
        <w:shd w:val="clear" w:color="auto" w:fill="auto"/>
        <w:tabs>
          <w:tab w:val="left" w:pos="143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Устанавливаются исходя из выбранных приоритетов муниципального образования с целью сохранения и укрепления общественного здоровья.</w:t>
      </w:r>
      <w:bookmarkStart w:id="1" w:name="bookmark8"/>
    </w:p>
    <w:p w:rsidR="00FA38C5" w:rsidRPr="00FA38C5" w:rsidRDefault="00FA38C5" w:rsidP="00FA38C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8C5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bookmarkEnd w:id="1"/>
    </w:p>
    <w:p w:rsidR="00FA38C5" w:rsidRPr="00FA38C5" w:rsidRDefault="00FA38C5" w:rsidP="00FA38C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spacing w:after="303" w:line="32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Улучшение здоровья населения, качества их жизни, формирование культуры общественного здоровья, ответственного отношения к здоровью.</w:t>
      </w:r>
      <w:bookmarkStart w:id="2" w:name="bookmark9"/>
    </w:p>
    <w:p w:rsidR="00FA38C5" w:rsidRPr="00FA38C5" w:rsidRDefault="00FA38C5" w:rsidP="00FA38C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8C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bookmarkEnd w:id="2"/>
    </w:p>
    <w:p w:rsidR="00FA38C5" w:rsidRPr="00FA38C5" w:rsidRDefault="00FA38C5" w:rsidP="00FA38C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ab/>
      </w:r>
      <w:r w:rsidRPr="00FA38C5">
        <w:rPr>
          <w:rFonts w:ascii="Times New Roman" w:hAnsi="Times New Roman" w:cs="Times New Roman"/>
          <w:b/>
          <w:sz w:val="28"/>
          <w:szCs w:val="28"/>
        </w:rPr>
        <w:t>1. Формирование здорового образа жизни населения для достижения положительной динамики целевых показателей программы:</w:t>
      </w:r>
    </w:p>
    <w:p w:rsidR="00FA38C5" w:rsidRPr="00FA38C5" w:rsidRDefault="00FA38C5" w:rsidP="00FA38C5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ab/>
        <w:t>1) снижение с</w:t>
      </w:r>
      <w:r w:rsidRPr="00FA38C5">
        <w:rPr>
          <w:rFonts w:ascii="Times New Roman" w:hAnsi="Times New Roman" w:cs="Times New Roman"/>
          <w:spacing w:val="-2"/>
          <w:sz w:val="28"/>
          <w:szCs w:val="28"/>
        </w:rPr>
        <w:t>мертности мужчин в возрасте  16-59 лет на 100 тыс. чел.;</w:t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38C5">
        <w:rPr>
          <w:rFonts w:ascii="Times New Roman" w:hAnsi="Times New Roman" w:cs="Times New Roman"/>
          <w:spacing w:val="-2"/>
          <w:sz w:val="28"/>
          <w:szCs w:val="28"/>
        </w:rPr>
        <w:tab/>
        <w:t xml:space="preserve">2) </w:t>
      </w:r>
      <w:r w:rsidRPr="00FA38C5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FA38C5">
        <w:rPr>
          <w:rFonts w:ascii="Times New Roman" w:hAnsi="Times New Roman" w:cs="Times New Roman"/>
          <w:spacing w:val="-2"/>
          <w:sz w:val="28"/>
          <w:szCs w:val="28"/>
        </w:rPr>
        <w:t>смертности женщин в возрасте  16-54 лет на 100 тыс. чел.;</w:t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38C5">
        <w:rPr>
          <w:rFonts w:ascii="Times New Roman" w:hAnsi="Times New Roman" w:cs="Times New Roman"/>
          <w:spacing w:val="-2"/>
          <w:sz w:val="28"/>
          <w:szCs w:val="28"/>
        </w:rPr>
        <w:tab/>
        <w:t>3)выполнение плана диспансеризации и профилактических медицинских осмотров;</w:t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38C5">
        <w:rPr>
          <w:rFonts w:ascii="Times New Roman" w:hAnsi="Times New Roman" w:cs="Times New Roman"/>
          <w:spacing w:val="-2"/>
          <w:sz w:val="28"/>
          <w:szCs w:val="28"/>
        </w:rPr>
        <w:tab/>
        <w:t>4) розничные продажи алкогольной продукции на душу населения (в литрах этанола);</w:t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pacing w:val="-2"/>
          <w:sz w:val="28"/>
          <w:szCs w:val="28"/>
        </w:rPr>
        <w:tab/>
        <w:t xml:space="preserve">5) </w:t>
      </w:r>
      <w:r w:rsidRPr="00FA38C5">
        <w:rPr>
          <w:rFonts w:ascii="Times New Roman" w:hAnsi="Times New Roman" w:cs="Times New Roman"/>
          <w:sz w:val="28"/>
          <w:szCs w:val="28"/>
        </w:rPr>
        <w:t>распространенность потребления табака среди взрослого населения;</w:t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ab/>
        <w:t xml:space="preserve">6) доля </w:t>
      </w:r>
      <w:r w:rsidRPr="00FA38C5">
        <w:rPr>
          <w:rStyle w:val="1"/>
          <w:rFonts w:cs="Times New Roman"/>
          <w:sz w:val="28"/>
          <w:szCs w:val="28"/>
          <w:lang w:eastAsia="ru-RU"/>
        </w:rPr>
        <w:t>граждан, информированных о здоровом образе жизни, д</w:t>
      </w:r>
      <w:r w:rsidRPr="00FA38C5">
        <w:rPr>
          <w:rFonts w:ascii="Times New Roman" w:hAnsi="Times New Roman" w:cs="Times New Roman"/>
          <w:sz w:val="28"/>
          <w:szCs w:val="28"/>
        </w:rPr>
        <w:t>оля граждан, систематически занимающихся физической культурой и спортом</w:t>
      </w:r>
      <w:r w:rsidRPr="00FA38C5">
        <w:rPr>
          <w:rFonts w:ascii="Times New Roman" w:hAnsi="Times New Roman" w:cs="Times New Roman"/>
          <w:sz w:val="28"/>
          <w:szCs w:val="28"/>
        </w:rPr>
        <w:tab/>
        <w:t>7) другие показатели.</w:t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ab/>
      </w:r>
      <w:r w:rsidRPr="00FA38C5">
        <w:rPr>
          <w:rFonts w:ascii="Times New Roman" w:hAnsi="Times New Roman" w:cs="Times New Roman"/>
          <w:b/>
          <w:sz w:val="28"/>
          <w:szCs w:val="28"/>
        </w:rPr>
        <w:t>2. Создание условий для ведения здорового образа жизни:</w:t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38C5">
        <w:rPr>
          <w:rFonts w:ascii="Times New Roman" w:hAnsi="Times New Roman" w:cs="Times New Roman"/>
          <w:sz w:val="28"/>
          <w:szCs w:val="28"/>
        </w:rPr>
        <w:t>- площадь зеленых зон в городе (не менее 0,31%) или площадь зеленых зон на одного человека; протяженность велосипедных маршрутов; оценка доступности и удобства пешеходных зон и велосипедных маршрутов в городе горожанами; доля дорог с пешеходными маршрутами, число разработанных пешеходных маршрутов до наиболее используемых в городе объектов; число спортивных площадок и сооружений, их доступность для населения и др.);</w:t>
      </w:r>
      <w:proofErr w:type="gramEnd"/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ab/>
        <w:t>- количество мероприятий плана по общественному здоровью, которые нашли отражение в других стратегических документах города, планах (определить основной перечень таких планов) и т.д.;</w:t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ab/>
        <w:t xml:space="preserve">- наличие Совета (рабочей группы) по общественному здоровью на уровне руководителя муниципального образования, ответственного лица за вопросы общественного здоровья в штате администрации; </w:t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0"/>
      <w:r w:rsidRPr="00FA38C5">
        <w:rPr>
          <w:rFonts w:ascii="Times New Roman" w:hAnsi="Times New Roman" w:cs="Times New Roman"/>
          <w:sz w:val="28"/>
          <w:szCs w:val="28"/>
        </w:rPr>
        <w:tab/>
        <w:t>- другое.</w:t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ab/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b/>
          <w:sz w:val="28"/>
          <w:szCs w:val="28"/>
        </w:rPr>
        <w:t>3. Вступление в Ассоциацию «Здоровые города, районы и поселки»</w:t>
      </w:r>
      <w:r w:rsidRPr="00FA38C5">
        <w:rPr>
          <w:rFonts w:ascii="Times New Roman" w:hAnsi="Times New Roman" w:cs="Times New Roman"/>
          <w:sz w:val="28"/>
          <w:szCs w:val="28"/>
        </w:rPr>
        <w:t xml:space="preserve"> (при соблюдении всех необходимых требований).</w:t>
      </w:r>
    </w:p>
    <w:p w:rsidR="00FA38C5" w:rsidRDefault="00FA38C5" w:rsidP="00FA38C5">
      <w:pPr>
        <w:pStyle w:val="21"/>
        <w:shd w:val="clear" w:color="auto" w:fill="auto"/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FA38C5" w:rsidRDefault="00FA38C5" w:rsidP="00FA38C5">
      <w:pPr>
        <w:pStyle w:val="21"/>
        <w:shd w:val="clear" w:color="auto" w:fill="auto"/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FA38C5" w:rsidRDefault="00FA38C5" w:rsidP="00FA38C5">
      <w:pPr>
        <w:pStyle w:val="21"/>
        <w:shd w:val="clear" w:color="auto" w:fill="auto"/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FA38C5" w:rsidRDefault="00FA38C5" w:rsidP="00FA38C5">
      <w:pPr>
        <w:pStyle w:val="21"/>
        <w:shd w:val="clear" w:color="auto" w:fill="auto"/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FA38C5">
        <w:rPr>
          <w:rFonts w:ascii="Times New Roman" w:hAnsi="Times New Roman" w:cs="Times New Roman"/>
          <w:b/>
          <w:sz w:val="28"/>
          <w:szCs w:val="28"/>
        </w:rPr>
        <w:t>Ресурсы:</w:t>
      </w:r>
      <w:bookmarkEnd w:id="3"/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Потребность в финансировании программы:</w:t>
      </w:r>
    </w:p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984"/>
        <w:gridCol w:w="2268"/>
        <w:gridCol w:w="1873"/>
        <w:gridCol w:w="1913"/>
      </w:tblGrid>
      <w:tr w:rsidR="00FA38C5" w:rsidRPr="00FA38C5" w:rsidTr="00710616">
        <w:tc>
          <w:tcPr>
            <w:tcW w:w="1526" w:type="dxa"/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73" w:type="dxa"/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13" w:type="dxa"/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A38C5" w:rsidRPr="00FA38C5" w:rsidTr="00710616">
        <w:tc>
          <w:tcPr>
            <w:tcW w:w="1526" w:type="dxa"/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984" w:type="dxa"/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73" w:type="dxa"/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13" w:type="dxa"/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FA38C5" w:rsidRPr="00FA38C5" w:rsidRDefault="00FA38C5" w:rsidP="00FA38C5">
      <w:pPr>
        <w:pStyle w:val="21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bookmark11"/>
      <w:r w:rsidRPr="00FA38C5">
        <w:rPr>
          <w:rFonts w:ascii="Times New Roman" w:hAnsi="Times New Roman" w:cs="Times New Roman"/>
          <w:b/>
          <w:sz w:val="28"/>
          <w:szCs w:val="28"/>
        </w:rPr>
        <w:t>Мониторинг и оценка программы:</w:t>
      </w:r>
      <w:bookmarkEnd w:id="4"/>
    </w:p>
    <w:p w:rsidR="00FA38C5" w:rsidRPr="00FA38C5" w:rsidRDefault="00FA38C5" w:rsidP="00FA38C5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8C5" w:rsidRPr="00FA38C5" w:rsidRDefault="00FA38C5" w:rsidP="00FA38C5">
      <w:pPr>
        <w:pStyle w:val="21"/>
        <w:shd w:val="clear" w:color="auto" w:fill="auto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Мониторинг и оценка эффективности программы должна быть этапом планирования программы с четким определением перечня оцениваемых индикаторов, сроков оценки, методов сбора информации для определения индикаторов, целевых уровней и ответственных.</w:t>
      </w:r>
    </w:p>
    <w:p w:rsidR="00FA38C5" w:rsidRPr="00FA38C5" w:rsidRDefault="00FA38C5" w:rsidP="00FA38C5">
      <w:pPr>
        <w:pStyle w:val="21"/>
        <w:shd w:val="clear" w:color="auto" w:fill="auto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38C5">
        <w:rPr>
          <w:rFonts w:ascii="Times New Roman" w:hAnsi="Times New Roman" w:cs="Times New Roman"/>
          <w:sz w:val="28"/>
          <w:szCs w:val="28"/>
        </w:rPr>
        <w:t>Мероприятия по проведению мониторинга и оценки эффективности должны быть включены в план мероприятий и изначально выделен бюджет, составляющий 10% от бюджета программы.</w:t>
      </w:r>
    </w:p>
    <w:p w:rsidR="00FA38C5" w:rsidRPr="00FA38C5" w:rsidRDefault="00FA38C5" w:rsidP="00FA38C5">
      <w:pPr>
        <w:pStyle w:val="70"/>
        <w:shd w:val="clear" w:color="auto" w:fill="auto"/>
        <w:spacing w:after="380" w:line="200" w:lineRule="exact"/>
        <w:ind w:left="3960"/>
        <w:rPr>
          <w:rFonts w:ascii="Times New Roman" w:hAnsi="Times New Roman" w:cs="Times New Roman"/>
          <w:sz w:val="28"/>
          <w:szCs w:val="28"/>
        </w:rPr>
        <w:sectPr w:rsidR="00FA38C5" w:rsidRPr="00FA38C5" w:rsidSect="003C68F5">
          <w:footerReference w:type="default" r:id="rId6"/>
          <w:pgSz w:w="11900" w:h="16840"/>
          <w:pgMar w:top="1134" w:right="567" w:bottom="1134" w:left="1985" w:header="0" w:footer="6" w:gutter="0"/>
          <w:cols w:space="720"/>
          <w:noEndnote/>
          <w:titlePg/>
          <w:docGrid w:linePitch="360"/>
        </w:sectPr>
      </w:pPr>
    </w:p>
    <w:p w:rsidR="00FA38C5" w:rsidRPr="00FA38C5" w:rsidRDefault="00FA38C5" w:rsidP="00FA38C5">
      <w:pPr>
        <w:pStyle w:val="6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FA38C5">
        <w:rPr>
          <w:rFonts w:ascii="Times New Roman" w:hAnsi="Times New Roman" w:cs="Times New Roman"/>
          <w:spacing w:val="2"/>
        </w:rPr>
        <w:lastRenderedPageBreak/>
        <w:t xml:space="preserve"> План мероприятий </w:t>
      </w:r>
      <w:r w:rsidRPr="00FA38C5">
        <w:rPr>
          <w:rFonts w:ascii="Times New Roman" w:hAnsi="Times New Roman" w:cs="Times New Roman"/>
        </w:rPr>
        <w:t>муниципальной программы</w:t>
      </w:r>
    </w:p>
    <w:p w:rsidR="00FA38C5" w:rsidRPr="00FA38C5" w:rsidRDefault="00FA38C5" w:rsidP="00FA38C5">
      <w:pPr>
        <w:pStyle w:val="6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FA38C5">
        <w:rPr>
          <w:rFonts w:ascii="Times New Roman" w:hAnsi="Times New Roman" w:cs="Times New Roman"/>
        </w:rPr>
        <w:t>«Укрепление общественного здоровья на 2021 - 2024 годы»</w:t>
      </w:r>
    </w:p>
    <w:p w:rsidR="00FA38C5" w:rsidRPr="00FA38C5" w:rsidRDefault="00FA38C5" w:rsidP="00FA38C5">
      <w:pPr>
        <w:pStyle w:val="6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15"/>
        <w:gridCol w:w="4190"/>
        <w:gridCol w:w="15"/>
        <w:gridCol w:w="2035"/>
        <w:gridCol w:w="14"/>
        <w:gridCol w:w="2220"/>
        <w:gridCol w:w="7"/>
        <w:gridCol w:w="2034"/>
        <w:gridCol w:w="33"/>
        <w:gridCol w:w="907"/>
        <w:gridCol w:w="2414"/>
      </w:tblGrid>
      <w:tr w:rsidR="00FA38C5" w:rsidRPr="00FA38C5" w:rsidTr="00710616">
        <w:trPr>
          <w:trHeight w:val="20"/>
        </w:trPr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Срок выполнения (годы)</w:t>
            </w:r>
          </w:p>
        </w:tc>
        <w:tc>
          <w:tcPr>
            <w:tcW w:w="16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рублей)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before="6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after="120" w:line="260" w:lineRule="exact"/>
              <w:ind w:left="2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38C5" w:rsidRPr="00FA38C5" w:rsidTr="0071061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I. Организация мероприятий по выявлению факторов риска и ранней диагностике неинфекционных заболеваний, формированию здорового образа жизни,  в том числе в трудовых коллективах, учреждениях (организациях)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Исполнение федеральных и региональных нормативных правовых актов и методических документов по вопросам здорового образа жизни.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Организация межведомственного Совета по общественному здоровью в муниципальном районе (городском округе).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Обеспечение выполнения плана диспансеризации и профилактических медицинских осмотров взрослого населения.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Главный врач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Баранов А.</w:t>
            </w:r>
            <w:proofErr w:type="gram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оликлиникой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выявляемости</w:t>
            </w:r>
            <w:proofErr w:type="spell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хронических неинфекционных заболеваний и факторов риска их развития в ходе диспансеризации взрослого 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населения.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Зав</w:t>
            </w:r>
            <w:proofErr w:type="gram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оликлиникой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КМП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Организация информационно-коммуни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softHyphen/>
              <w:t>кационной кампании, направленной на мотивацию граждан к здоровому образу жизни, включая здоровое питание, двигательную активность, отказ от потребления табака и алкоголя, сохранение репродуктивного здоровья, для различных целевых групп населения.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КМП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Трансляция на информационных табло, </w:t>
            </w:r>
            <w:proofErr w:type="gram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ведомственных</w:t>
            </w:r>
            <w:proofErr w:type="gram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плазменных </w:t>
            </w:r>
            <w:proofErr w:type="spell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видеопанелях</w:t>
            </w:r>
            <w:proofErr w:type="spell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внутри зданий, социальной рекламы по вопросам формирования здорового образа жизни.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ГУЗ Акшинская ЦРБ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КМП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Проведение, в соответствии с планом министерства здравоохранения Забайкальского края, массовых межведомственных профилактических акций, с привлечением общественных объединений и волонтеров (добровольцев), а также обучение населения распознаванию первых признаков инфаркта миокарда и 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мозгового инсульта, алгоритму оказания первой помощи.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больница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ГУЗ Акшинская ЦРБ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Районные специалисты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КМП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1.5.3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Размещение профилактических материалов в периодической печати, на сайтах и в социальных сетях.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больница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ГУЗ Акшинская ЦРБ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Районные специалисты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КМП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Поддержка проектов, идей и программ, в том числе молодежных, ориентированных на формирование здорового образа жизни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2022-2024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площадки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Организация и проведение смотро</w:t>
            </w:r>
            <w:proofErr w:type="gram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конкурсов среди образовательных организаций, иных организаций и предприятий на лучшие практики по здоровому образу жизни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2022-2024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pacing w:line="260" w:lineRule="exact"/>
              <w:ind w:left="-108" w:right="-108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1.8.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pacing w:line="298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Развитие форм семейного отдыха и семейного досуга, формирование нравственно-эстетических ценностей семьи, культурных традиций.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культура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Внедрение корпоративных программ укрепления здоровья работников, включая мероприятия, направленные на  формирование здорового образа 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жизни, отказ от </w:t>
            </w:r>
            <w:proofErr w:type="spell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, злоупотребления алкогольными напитками, переход на здоровое питание, повышение физической активности.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ГУЗ Акшинская ЦРБ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Содействие всестороннему развитию детей, реализации личности ребенка в интересах общества.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(добровольчества) по формированию здорового образа жизни среди школьников, лиц старше трудоспособного возраста.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 ГУЗ Акшинская ЦРБ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Мероприятия по первичной профилактике  заболеваний полости рта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больница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Районный стоматолог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Мероприятия по профилактике заболеваний репродуктивной сферы у мужчин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больница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Районный акушер-гинеколог</w:t>
            </w:r>
          </w:p>
        </w:tc>
      </w:tr>
      <w:tr w:rsidR="00FA38C5" w:rsidRPr="00FA38C5" w:rsidTr="0071061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II. Мероприятия по снижению масштабов злоупотребления алкогольной продукцией и профилактике алкоголизма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Контрольно-надзорные мероприятия по соблюдению федеральных и региональных нормативных правовых актов, регламентирующих порядок, в том числе ограничения реализации спиртосодержащей 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продукции.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межведомственного взаимодействия учреждений социальной сферы, образования, культуры, здравоохранения, представителей бизнеса, руководителей сельхозпредприятий, общественных и социально </w:t>
            </w:r>
            <w:proofErr w:type="gram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ориентированными</w:t>
            </w:r>
            <w:proofErr w:type="gram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некоммерческих организаций, религиозных </w:t>
            </w:r>
            <w:proofErr w:type="spell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по вопросам снижения злоупотребления алкогольной продукцией.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культура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III. Соблюдение требований Федерального закона от 23.02.2013 № 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Мероприятия по организации и контролю реализации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Органы местного самоуправления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ind w:left="1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снижения распространенности </w:t>
            </w:r>
            <w:proofErr w:type="spell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в рамках межведомственного взаимодействия учреждений 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сферы, образования, культуры, здравоохранения, представителей бизнеса, руководителей сельхозпредприятий, общественных и социально </w:t>
            </w:r>
            <w:proofErr w:type="gram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ориентированными</w:t>
            </w:r>
            <w:proofErr w:type="gram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некоммерческих организаций, религиозных </w:t>
            </w:r>
            <w:proofErr w:type="spell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культура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ГУЗ Акшинская ЦРБ</w:t>
            </w:r>
          </w:p>
        </w:tc>
      </w:tr>
      <w:tr w:rsidR="00FA38C5" w:rsidRPr="00FA38C5" w:rsidTr="0071061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IV. Меры по развитию массовой физической культуры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Оснащение придомовых территорий и жилых массивов спортивными и игровыми площадками, </w:t>
            </w:r>
            <w:proofErr w:type="spell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билбордами</w:t>
            </w:r>
            <w:proofErr w:type="spell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, информационными стендами по здоровому образу жизни.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2022-2024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8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softHyphen/>
              <w:t>ных и спортивно-массовых мероприятий с широким участием населения различного возраста по месту их жительства, среди работающих, служащих и молодежи (спортивные соревнования, спортивные эстафеты).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больница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ГУЗ Акшинская ЦРБ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Открытие клубных объединений физкультурно-спортивной направленности по месту жительства.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2022-2024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ТОС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ind w:left="1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Организация спортивной работы среди людей с ограниченными 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возможностями, создание условий для развития адаптивной физической культуры и спорта.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A38C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9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Реализация социальных мер для населения по обеспечению доступности занятий физической культуры и спортом.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2021-2024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color w:val="FF0000"/>
                <w:sz w:val="28"/>
                <w:szCs w:val="28"/>
              </w:rPr>
              <w:t>администрация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FA38C5" w:rsidRPr="00FA38C5" w:rsidTr="0071061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Меры по снижению распространения 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- 19</w:t>
            </w:r>
          </w:p>
        </w:tc>
      </w:tr>
      <w:tr w:rsidR="00FA38C5" w:rsidRPr="00FA38C5" w:rsidTr="00710616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органов дыхания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  <w:t>2023-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2024-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100.00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«Акшинский район»</w:t>
            </w:r>
          </w:p>
        </w:tc>
      </w:tr>
      <w:tr w:rsidR="00FA38C5" w:rsidRPr="00FA38C5" w:rsidTr="00710616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Приобретение обеззараживающих средств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2023-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2024-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100.00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100.00</w:t>
            </w:r>
          </w:p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100.00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5" w:rsidRPr="00FA38C5" w:rsidRDefault="00FA38C5" w:rsidP="00710616">
            <w:pPr>
              <w:pStyle w:val="21"/>
              <w:shd w:val="clear" w:color="auto" w:fill="auto"/>
              <w:spacing w:line="260" w:lineRule="exact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FA38C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«Акшинский район»</w:t>
            </w:r>
          </w:p>
        </w:tc>
      </w:tr>
    </w:tbl>
    <w:p w:rsidR="00FA38C5" w:rsidRPr="00FA38C5" w:rsidRDefault="00FA38C5" w:rsidP="00FA38C5">
      <w:pPr>
        <w:rPr>
          <w:rFonts w:ascii="Times New Roman" w:hAnsi="Times New Roman" w:cs="Times New Roman"/>
          <w:sz w:val="28"/>
          <w:szCs w:val="28"/>
        </w:rPr>
      </w:pPr>
    </w:p>
    <w:p w:rsidR="00FA38C5" w:rsidRPr="00FA38C5" w:rsidRDefault="00FA38C5" w:rsidP="00FA38C5">
      <w:pPr>
        <w:rPr>
          <w:rFonts w:ascii="Times New Roman" w:hAnsi="Times New Roman" w:cs="Times New Roman"/>
          <w:sz w:val="28"/>
          <w:szCs w:val="28"/>
        </w:rPr>
      </w:pPr>
    </w:p>
    <w:p w:rsidR="00AC5A19" w:rsidRPr="00FA38C5" w:rsidRDefault="00AC5A19" w:rsidP="00FA38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5A19" w:rsidRPr="00FA38C5" w:rsidSect="004964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F6" w:rsidRDefault="003E35F6" w:rsidP="00905491">
      <w:r>
        <w:separator/>
      </w:r>
    </w:p>
  </w:endnote>
  <w:endnote w:type="continuationSeparator" w:id="0">
    <w:p w:rsidR="003E35F6" w:rsidRDefault="003E35F6" w:rsidP="0090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F5" w:rsidRDefault="00905491">
    <w:pPr>
      <w:pStyle w:val="a3"/>
      <w:jc w:val="center"/>
    </w:pPr>
    <w:r>
      <w:fldChar w:fldCharType="begin"/>
    </w:r>
    <w:r w:rsidR="00FA38C5">
      <w:instrText>PAGE   \* MERGEFORMAT</w:instrText>
    </w:r>
    <w:r>
      <w:fldChar w:fldCharType="separate"/>
    </w:r>
    <w:r w:rsidR="00F22A7A">
      <w:rPr>
        <w:noProof/>
      </w:rPr>
      <w:t>6</w:t>
    </w:r>
    <w:r>
      <w:fldChar w:fldCharType="end"/>
    </w:r>
  </w:p>
  <w:p w:rsidR="003C68F5" w:rsidRDefault="003E35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F6" w:rsidRDefault="003E35F6" w:rsidP="00905491">
      <w:r>
        <w:separator/>
      </w:r>
    </w:p>
  </w:footnote>
  <w:footnote w:type="continuationSeparator" w:id="0">
    <w:p w:rsidR="003E35F6" w:rsidRDefault="003E35F6" w:rsidP="00905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C5"/>
    <w:rsid w:val="003E35F6"/>
    <w:rsid w:val="00905491"/>
    <w:rsid w:val="00AC5A19"/>
    <w:rsid w:val="00F22A7A"/>
    <w:rsid w:val="00FA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C5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FA38C5"/>
    <w:rPr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FA38C5"/>
    <w:rPr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FA38C5"/>
    <w:rPr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FA38C5"/>
    <w:rPr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a"/>
    <w:link w:val="2"/>
    <w:rsid w:val="00FA38C5"/>
    <w:pPr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FA38C5"/>
    <w:pPr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FA38C5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styleId="a3">
    <w:name w:val="footer"/>
    <w:basedOn w:val="a"/>
    <w:link w:val="a4"/>
    <w:rsid w:val="00FA38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A38C5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FA38C5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/>
    </w:rPr>
  </w:style>
  <w:style w:type="paragraph" w:customStyle="1" w:styleId="Style5">
    <w:name w:val="Style5"/>
    <w:basedOn w:val="a"/>
    <w:rsid w:val="00FA38C5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22">
    <w:name w:val="Style22"/>
    <w:basedOn w:val="a"/>
    <w:rsid w:val="00FA38C5"/>
    <w:pPr>
      <w:autoSpaceDE w:val="0"/>
      <w:autoSpaceDN w:val="0"/>
      <w:adjustRightInd w:val="0"/>
      <w:spacing w:line="221" w:lineRule="exact"/>
    </w:pPr>
    <w:rPr>
      <w:rFonts w:ascii="Times New Roman" w:hAnsi="Times New Roman" w:cs="Times New Roman"/>
      <w:color w:val="auto"/>
    </w:rPr>
  </w:style>
  <w:style w:type="character" w:customStyle="1" w:styleId="FontStyle77">
    <w:name w:val="Font Style77"/>
    <w:rsid w:val="00FA38C5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2361</Words>
  <Characters>13460</Characters>
  <Application>Microsoft Office Word</Application>
  <DocSecurity>0</DocSecurity>
  <Lines>112</Lines>
  <Paragraphs>31</Paragraphs>
  <ScaleCrop>false</ScaleCrop>
  <Company>RePack by SPecialiST</Company>
  <LinksUpToDate>false</LinksUpToDate>
  <CharactersWithSpaces>15790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2023-05-19T07:24:00Z</dcterms:created>
  <dcterms:modified xsi:type="dcterms:W3CDTF">2023-05-19T07:29:00Z</dcterms:modified>
</cp:coreProperties>
</file>