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3" w:rsidRDefault="008A4503" w:rsidP="008A4503">
      <w:pPr>
        <w:spacing w:line="276" w:lineRule="auto"/>
        <w:jc w:val="center"/>
        <w:rPr>
          <w:b/>
        </w:rPr>
      </w:pPr>
      <w:bookmarkStart w:id="0" w:name="_Hlk467066427"/>
      <w:r>
        <w:rPr>
          <w:b/>
          <w:noProof/>
        </w:rPr>
        <w:drawing>
          <wp:inline distT="0" distB="0" distL="0" distR="0" wp14:anchorId="791ABAC3" wp14:editId="117BCA72">
            <wp:extent cx="56007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503" w:rsidRDefault="008A4503" w:rsidP="008A4503">
      <w:pPr>
        <w:spacing w:line="276" w:lineRule="auto"/>
        <w:jc w:val="center"/>
        <w:rPr>
          <w:b/>
        </w:rPr>
      </w:pPr>
    </w:p>
    <w:p w:rsidR="008A4503" w:rsidRDefault="008A4503" w:rsidP="008A4503">
      <w:pPr>
        <w:spacing w:line="276" w:lineRule="auto"/>
        <w:jc w:val="center"/>
        <w:rPr>
          <w:b/>
        </w:rPr>
      </w:pPr>
    </w:p>
    <w:p w:rsidR="00B67793" w:rsidRDefault="00B67793" w:rsidP="00B67793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7793">
        <w:rPr>
          <w:rFonts w:ascii="Arial" w:hAnsi="Arial" w:cs="Arial"/>
          <w:b/>
          <w:sz w:val="24"/>
          <w:szCs w:val="24"/>
        </w:rPr>
        <w:t>ПЕРЕЧЕНЬ ЛОКА</w:t>
      </w:r>
      <w:r>
        <w:rPr>
          <w:rFonts w:ascii="Arial" w:hAnsi="Arial" w:cs="Arial"/>
          <w:b/>
          <w:sz w:val="24"/>
          <w:szCs w:val="24"/>
        </w:rPr>
        <w:t>ЛЬНЫХ ПРИКАЗОВ ПО ОХРАНЕ ТРУДА,</w:t>
      </w:r>
    </w:p>
    <w:p w:rsidR="008A4503" w:rsidRPr="00A14C3F" w:rsidRDefault="00B67793" w:rsidP="00B67793">
      <w:pPr>
        <w:pStyle w:val="a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7793">
        <w:rPr>
          <w:rFonts w:ascii="Arial" w:hAnsi="Arial" w:cs="Arial"/>
          <w:b/>
          <w:sz w:val="24"/>
          <w:szCs w:val="24"/>
        </w:rPr>
        <w:t xml:space="preserve">ОПУБЛИКОВАННЫХ НА </w:t>
      </w:r>
      <w:hyperlink r:id="rId8" w:history="1">
        <w:r w:rsidRPr="00A14C3F">
          <w:rPr>
            <w:rStyle w:val="ab"/>
            <w:rFonts w:ascii="Arial" w:hAnsi="Arial" w:cs="Arial"/>
            <w:b/>
            <w:sz w:val="24"/>
            <w:szCs w:val="24"/>
          </w:rPr>
          <w:t>БЛОГ—ИНЖЕНЕРА</w:t>
        </w:r>
        <w:r w:rsidR="00A14C3F" w:rsidRPr="00A14C3F">
          <w:rPr>
            <w:rStyle w:val="ab"/>
            <w:rFonts w:ascii="Arial" w:hAnsi="Arial" w:cs="Arial"/>
            <w:b/>
            <w:sz w:val="24"/>
            <w:szCs w:val="24"/>
          </w:rPr>
          <w:t xml:space="preserve"> </w:t>
        </w:r>
        <w:r w:rsidR="00A14C3F" w:rsidRPr="00A14C3F">
          <w:rPr>
            <w:rStyle w:val="ab"/>
            <w:rFonts w:ascii="Arial" w:hAnsi="Arial" w:cs="Arial"/>
            <w:b/>
            <w:sz w:val="24"/>
            <w:szCs w:val="24"/>
            <w:lang w:val="en-US"/>
          </w:rPr>
          <w:t>PRO</w:t>
        </w:r>
        <w:r w:rsidR="00A14C3F" w:rsidRPr="00A14C3F">
          <w:rPr>
            <w:rStyle w:val="ab"/>
            <w:rFonts w:ascii="Arial" w:hAnsi="Arial" w:cs="Arial"/>
            <w:b/>
            <w:sz w:val="24"/>
            <w:szCs w:val="24"/>
          </w:rPr>
          <w:t>+</w:t>
        </w:r>
      </w:hyperlink>
    </w:p>
    <w:p w:rsidR="00B67793" w:rsidRPr="009C2CA6" w:rsidRDefault="00B67793" w:rsidP="009C2CA6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003" w:type="dxa"/>
        <w:tblLook w:val="04A0" w:firstRow="1" w:lastRow="0" w:firstColumn="1" w:lastColumn="0" w:noHBand="0" w:noVBand="1"/>
      </w:tblPr>
      <w:tblGrid>
        <w:gridCol w:w="578"/>
        <w:gridCol w:w="9425"/>
      </w:tblGrid>
      <w:tr w:rsidR="00B67793" w:rsidTr="00A14C3F">
        <w:trPr>
          <w:trHeight w:val="587"/>
        </w:trPr>
        <w:tc>
          <w:tcPr>
            <w:tcW w:w="578" w:type="dxa"/>
            <w:shd w:val="clear" w:color="auto" w:fill="E7E6E6" w:themeFill="background2"/>
          </w:tcPr>
          <w:p w:rsidR="00B67793" w:rsidRPr="00B67793" w:rsidRDefault="00B67793" w:rsidP="001350C3">
            <w:pPr>
              <w:pStyle w:val="a9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779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779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350C3">
              <w:rPr>
                <w:rFonts w:ascii="Arial" w:hAnsi="Arial" w:cs="Arial"/>
                <w:b/>
                <w:sz w:val="20"/>
                <w:szCs w:val="20"/>
              </w:rPr>
              <w:t>н</w:t>
            </w:r>
          </w:p>
        </w:tc>
        <w:tc>
          <w:tcPr>
            <w:tcW w:w="9425" w:type="dxa"/>
            <w:shd w:val="clear" w:color="auto" w:fill="E7E6E6" w:themeFill="background2"/>
          </w:tcPr>
          <w:p w:rsidR="00B67793" w:rsidRPr="00B67793" w:rsidRDefault="00B67793" w:rsidP="00B67793">
            <w:pPr>
              <w:pStyle w:val="a9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793">
              <w:rPr>
                <w:rFonts w:ascii="Arial" w:hAnsi="Arial" w:cs="Arial"/>
                <w:b/>
                <w:sz w:val="20"/>
                <w:szCs w:val="20"/>
              </w:rPr>
              <w:t>Наименование локального нормативного акта</w:t>
            </w:r>
          </w:p>
        </w:tc>
      </w:tr>
      <w:tr w:rsidR="00A14C3F" w:rsidTr="00A14C3F">
        <w:trPr>
          <w:trHeight w:val="293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утверждении положения о системе управления охраной труда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проведении специальной оценки условий труда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создании комиссии по проведению оценки профессиональных рисков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организацию проведения предварительных и периодических медицинских осмотров (обследований)</w:t>
            </w:r>
          </w:p>
        </w:tc>
      </w:tr>
      <w:tr w:rsidR="00A14C3F" w:rsidTr="00A14C3F">
        <w:trPr>
          <w:trHeight w:val="801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организацию проведения предсменных, предрейсовых, послесменных, послерейсовых медицинских осмотров, медицинских осмотров в течение рабочего дня (смены)</w:t>
            </w:r>
          </w:p>
        </w:tc>
      </w:tr>
      <w:tr w:rsidR="00A14C3F" w:rsidTr="00A14C3F">
        <w:trPr>
          <w:trHeight w:val="520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организацию проведения обязательных психиатрических освидетельствований работников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организацию проведения медицинских освидетельствований работников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организации проведения обучения требованиям охраны труда, оказанию первой помощи, использованию (применению) СИЗ</w:t>
            </w:r>
          </w:p>
        </w:tc>
      </w:tr>
      <w:tr w:rsidR="00A14C3F" w:rsidTr="00A14C3F">
        <w:trPr>
          <w:trHeight w:val="801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ответственных за формирование перечней работников, подлежащих обучению требованиям охраны труда, оказанию первой помощи, использованию (применению) СИЗ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утверждении постояннодействующей комиссии по проверке знаний требований охраны труда, оказанию первой помощи, использованию (применению) СИЗ</w:t>
            </w:r>
          </w:p>
        </w:tc>
      </w:tr>
      <w:tr w:rsidR="00A14C3F" w:rsidTr="00A14C3F">
        <w:trPr>
          <w:trHeight w:val="293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передачу данных в «Реестр обученных лиц»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отстранении от работы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утверждении программ обучения по охране труда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организации проведения инструктажей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разработку инструкций по охране труда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утверждении и вводе программ инструктажей</w:t>
            </w:r>
          </w:p>
        </w:tc>
      </w:tr>
      <w:tr w:rsidR="00A14C3F" w:rsidTr="00A14C3F">
        <w:trPr>
          <w:trHeight w:val="293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проведении целевого инструктажа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организации проведения стажировок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руководителя стажировки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допуске к самостоятельной работе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обеспечение работников сиз и смывающими средствами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безопасную эксплуатацию зданий и сооружений</w:t>
            </w:r>
          </w:p>
        </w:tc>
      </w:tr>
      <w:tr w:rsidR="00A14C3F" w:rsidTr="00A14C3F">
        <w:trPr>
          <w:trHeight w:val="520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исправное состояние и эксплуатацию сварочного оборудования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содержание в исправном состоянии инструментов и приспособлений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при применении, хранении и транспортировке пестицидов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безопасную организацию работ подрядных организаций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организации санитарных постов для оказания первой помощи работникам</w:t>
            </w:r>
          </w:p>
        </w:tc>
      </w:tr>
      <w:tr w:rsidR="00A14C3F" w:rsidTr="00A14C3F">
        <w:trPr>
          <w:trHeight w:val="520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организацию погрузочно-разгрузочных работ и размещения грузов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электрохозяйство</w:t>
            </w:r>
          </w:p>
        </w:tc>
      </w:tr>
      <w:tr w:rsidR="00A14C3F" w:rsidTr="00A14C3F">
        <w:trPr>
          <w:trHeight w:val="54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техническое обслуживание, ремонт и проверку технического состояния автотранспортных средств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безопасное проведение сварочных работ в зонах технического обслуживания и ремонта автотранспортных средств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исправное состояние и безопасную эксплуатацию котлов (сосудов)</w:t>
            </w:r>
          </w:p>
        </w:tc>
      </w:tr>
      <w:tr w:rsidR="00A14C3F" w:rsidTr="00A14C3F">
        <w:trPr>
          <w:trHeight w:val="293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лиц, ответственных за выпуск автомобильного транспорта на линию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эксплуатацию вентиляционных установок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санитарную обработку автотранспортного средства и контейнеров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хранение, перевозку и использование антифриза</w:t>
            </w:r>
          </w:p>
        </w:tc>
      </w:tr>
      <w:tr w:rsidR="00A14C3F" w:rsidTr="00A14C3F">
        <w:trPr>
          <w:trHeight w:val="534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содержания лифтов в исправном состоянии и безопасной эксплуатации</w:t>
            </w:r>
          </w:p>
        </w:tc>
      </w:tr>
      <w:tr w:rsidR="00A14C3F" w:rsidTr="00A14C3F">
        <w:trPr>
          <w:trHeight w:val="293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 назначении лица, ответственного за безопасную эксплуатацию газовой котельной</w:t>
            </w:r>
          </w:p>
        </w:tc>
      </w:tr>
      <w:tr w:rsidR="00A14C3F" w:rsidTr="00A14C3F">
        <w:trPr>
          <w:trHeight w:val="307"/>
        </w:trPr>
        <w:tc>
          <w:tcPr>
            <w:tcW w:w="578" w:type="dxa"/>
          </w:tcPr>
          <w:p w:rsidR="00A14C3F" w:rsidRPr="00B67793" w:rsidRDefault="00A14C3F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A14C3F" w:rsidRPr="00A14C3F" w:rsidRDefault="00A14C3F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A14C3F">
              <w:rPr>
                <w:rFonts w:ascii="Arial" w:hAnsi="Arial" w:cs="Arial"/>
                <w:sz w:val="20"/>
                <w:szCs w:val="20"/>
              </w:rPr>
              <w:t>Приказ об организации и проведении работ на высоте</w:t>
            </w:r>
          </w:p>
        </w:tc>
      </w:tr>
      <w:tr w:rsidR="00DF18F5" w:rsidTr="00A14C3F">
        <w:trPr>
          <w:trHeight w:val="307"/>
        </w:trPr>
        <w:tc>
          <w:tcPr>
            <w:tcW w:w="578" w:type="dxa"/>
          </w:tcPr>
          <w:p w:rsidR="00DF18F5" w:rsidRPr="00B67793" w:rsidRDefault="00DF18F5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DF18F5" w:rsidRPr="00A14C3F" w:rsidRDefault="00DF18F5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DF18F5">
              <w:rPr>
                <w:rFonts w:ascii="Arial" w:hAnsi="Arial" w:cs="Arial"/>
                <w:sz w:val="20"/>
                <w:szCs w:val="20"/>
              </w:rPr>
              <w:t>Приказ о выдаче молока или других равноценных пищевых продуктов за работу во вредных условиях труда</w:t>
            </w:r>
          </w:p>
        </w:tc>
      </w:tr>
      <w:tr w:rsidR="00DF18F5" w:rsidTr="00A14C3F">
        <w:trPr>
          <w:trHeight w:val="307"/>
        </w:trPr>
        <w:tc>
          <w:tcPr>
            <w:tcW w:w="578" w:type="dxa"/>
          </w:tcPr>
          <w:p w:rsidR="00DF18F5" w:rsidRPr="00B67793" w:rsidRDefault="00DF18F5" w:rsidP="00A14C3F">
            <w:pPr>
              <w:pStyle w:val="a9"/>
              <w:numPr>
                <w:ilvl w:val="0"/>
                <w:numId w:val="3"/>
              </w:numPr>
              <w:spacing w:line="276" w:lineRule="auto"/>
              <w:ind w:left="0" w:right="-5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5" w:type="dxa"/>
            <w:vAlign w:val="center"/>
          </w:tcPr>
          <w:p w:rsidR="00DF18F5" w:rsidRPr="00A14C3F" w:rsidRDefault="00DF18F5" w:rsidP="00A14C3F">
            <w:pPr>
              <w:rPr>
                <w:rFonts w:ascii="Arial" w:hAnsi="Arial" w:cs="Arial"/>
                <w:sz w:val="20"/>
                <w:szCs w:val="20"/>
              </w:rPr>
            </w:pPr>
            <w:r w:rsidRPr="00DF18F5">
              <w:rPr>
                <w:rFonts w:ascii="Arial" w:hAnsi="Arial" w:cs="Arial"/>
                <w:sz w:val="20"/>
                <w:szCs w:val="20"/>
              </w:rPr>
              <w:t>Приказ о замене выдачи молока денежной компенсацией</w:t>
            </w:r>
            <w:bookmarkStart w:id="1" w:name="_GoBack"/>
            <w:bookmarkEnd w:id="1"/>
          </w:p>
        </w:tc>
      </w:tr>
    </w:tbl>
    <w:p w:rsidR="008A4503" w:rsidRPr="009A7451" w:rsidRDefault="008A4503" w:rsidP="008A4503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8A4503" w:rsidRPr="002A5868" w:rsidRDefault="008A4503" w:rsidP="002A5868">
      <w:pPr>
        <w:pStyle w:val="a7"/>
        <w:widowControl/>
        <w:tabs>
          <w:tab w:val="left" w:pos="0"/>
          <w:tab w:val="left" w:pos="851"/>
        </w:tabs>
        <w:suppressAutoHyphens w:val="0"/>
        <w:spacing w:before="120" w:after="0" w:line="276" w:lineRule="auto"/>
        <w:jc w:val="center"/>
        <w:textAlignment w:val="auto"/>
        <w:rPr>
          <w:rFonts w:ascii="Times New Roman" w:hAnsi="Times New Roman" w:cs="Times New Roman"/>
          <w:b/>
          <w:sz w:val="24"/>
        </w:rPr>
      </w:pPr>
      <w:bookmarkStart w:id="2" w:name="_Hlk140599871"/>
      <w:bookmarkStart w:id="3" w:name="_Hlk140585095"/>
      <w:r w:rsidRPr="002A5868">
        <w:rPr>
          <w:b/>
          <w:sz w:val="24"/>
        </w:rPr>
        <w:t xml:space="preserve">Вам нравится Блог—Инженера? Самый лучший способ </w:t>
      </w:r>
      <w:hyperlink r:id="rId9" w:history="1">
        <w:r w:rsidRPr="002A5868">
          <w:rPr>
            <w:rStyle w:val="ab"/>
            <w:b/>
            <w:sz w:val="24"/>
          </w:rPr>
          <w:t>поддержать нас</w:t>
        </w:r>
      </w:hyperlink>
      <w:bookmarkEnd w:id="0"/>
      <w:bookmarkEnd w:id="2"/>
      <w:bookmarkEnd w:id="3"/>
    </w:p>
    <w:sectPr w:rsidR="008A4503" w:rsidRPr="002A5868" w:rsidSect="002A5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72" w:rsidRDefault="00E84E72">
      <w:r>
        <w:separator/>
      </w:r>
    </w:p>
  </w:endnote>
  <w:endnote w:type="continuationSeparator" w:id="0">
    <w:p w:rsidR="00E84E72" w:rsidRDefault="00E8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72" w:rsidRDefault="00E84E72">
      <w:r>
        <w:separator/>
      </w:r>
    </w:p>
  </w:footnote>
  <w:footnote w:type="continuationSeparator" w:id="0">
    <w:p w:rsidR="00E84E72" w:rsidRDefault="00E8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46" w:rsidRDefault="00E84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844255"/>
    <w:multiLevelType w:val="hybridMultilevel"/>
    <w:tmpl w:val="FB66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03"/>
    <w:rsid w:val="001350C3"/>
    <w:rsid w:val="001A71B3"/>
    <w:rsid w:val="002A5868"/>
    <w:rsid w:val="002F05C6"/>
    <w:rsid w:val="00633B9F"/>
    <w:rsid w:val="00677461"/>
    <w:rsid w:val="006F6973"/>
    <w:rsid w:val="00745B5F"/>
    <w:rsid w:val="008A4503"/>
    <w:rsid w:val="009165B6"/>
    <w:rsid w:val="00956F3B"/>
    <w:rsid w:val="009811CC"/>
    <w:rsid w:val="009C2CA6"/>
    <w:rsid w:val="00A14C3F"/>
    <w:rsid w:val="00AD1150"/>
    <w:rsid w:val="00B25775"/>
    <w:rsid w:val="00B67793"/>
    <w:rsid w:val="00B8129F"/>
    <w:rsid w:val="00B81DD5"/>
    <w:rsid w:val="00C46B99"/>
    <w:rsid w:val="00CC4AE3"/>
    <w:rsid w:val="00DF18F5"/>
    <w:rsid w:val="00E84E72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3EF5-9FEE-4A84-8665-F2E36048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5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503"/>
  </w:style>
  <w:style w:type="paragraph" w:styleId="a5">
    <w:name w:val="footer"/>
    <w:basedOn w:val="a"/>
    <w:link w:val="a6"/>
    <w:uiPriority w:val="99"/>
    <w:unhideWhenUsed/>
    <w:rsid w:val="008A45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A4503"/>
  </w:style>
  <w:style w:type="paragraph" w:styleId="a7">
    <w:name w:val="Body Text"/>
    <w:basedOn w:val="a"/>
    <w:link w:val="a8"/>
    <w:rsid w:val="008A450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8A450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8A45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A4503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8A4503"/>
  </w:style>
  <w:style w:type="character" w:styleId="ab">
    <w:name w:val="Hyperlink"/>
    <w:basedOn w:val="a0"/>
    <w:uiPriority w:val="99"/>
    <w:unhideWhenUsed/>
    <w:rsid w:val="008A450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B6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p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73;&#1083;&#1086;&#1075;-&#1080;&#1085;&#1078;&#1077;&#1085;&#1077;&#1088;&#1072;.&#1088;&#1092;/p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Блог—Инженера</cp:lastModifiedBy>
  <cp:revision>12</cp:revision>
  <dcterms:created xsi:type="dcterms:W3CDTF">2023-07-18T16:22:00Z</dcterms:created>
  <dcterms:modified xsi:type="dcterms:W3CDTF">2023-07-29T16:46:00Z</dcterms:modified>
</cp:coreProperties>
</file>