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5C" w:rsidRPr="002B5F5C" w:rsidRDefault="002B5F5C" w:rsidP="00A435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B5F5C" w:rsidRDefault="002B5F5C" w:rsidP="00A435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576" w:rsidRPr="00A43576" w:rsidRDefault="00A43576" w:rsidP="00A435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576">
        <w:rPr>
          <w:rFonts w:ascii="Times New Roman" w:hAnsi="Times New Roman" w:cs="Times New Roman"/>
          <w:b/>
          <w:sz w:val="28"/>
          <w:szCs w:val="28"/>
        </w:rPr>
        <w:t>АДМИНИСТРАЦИЯ АКШИНСКОГО МУНИЦИПАЛЬНОГО ОКРУГА ЗАБАЙКАЛЬСКОГО КРАЯ</w:t>
      </w:r>
    </w:p>
    <w:p w:rsidR="00A43576" w:rsidRPr="00A43576" w:rsidRDefault="00A43576" w:rsidP="00A435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576" w:rsidRPr="00A43576" w:rsidRDefault="00A43576" w:rsidP="00A435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57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43576" w:rsidRPr="00A43576" w:rsidRDefault="00A43576" w:rsidP="00A435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576" w:rsidRPr="00A43576" w:rsidRDefault="00A43576" w:rsidP="00A435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576">
        <w:rPr>
          <w:rFonts w:ascii="Times New Roman" w:hAnsi="Times New Roman" w:cs="Times New Roman"/>
          <w:b/>
          <w:sz w:val="28"/>
          <w:szCs w:val="28"/>
        </w:rPr>
        <w:t>с. Акша</w:t>
      </w:r>
    </w:p>
    <w:p w:rsidR="00A43576" w:rsidRDefault="00A43576" w:rsidP="00830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3576" w:rsidRPr="00A43576" w:rsidRDefault="00521D9B" w:rsidP="00323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D9B">
        <w:rPr>
          <w:rFonts w:ascii="Times New Roman" w:hAnsi="Times New Roman" w:cs="Times New Roman"/>
          <w:b/>
          <w:sz w:val="28"/>
          <w:szCs w:val="28"/>
        </w:rPr>
        <w:t>Об утверждении Общих требований к методике прогнозирования поступлений доходов в бюджет Акшинского муниципального округа Забайкальского края</w:t>
      </w:r>
    </w:p>
    <w:p w:rsidR="00A43576" w:rsidRDefault="00A43576" w:rsidP="00A43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D9B" w:rsidRDefault="00521D9B" w:rsidP="0052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D9B">
        <w:rPr>
          <w:rFonts w:ascii="Times New Roman" w:hAnsi="Times New Roman" w:cs="Times New Roman"/>
          <w:sz w:val="28"/>
          <w:szCs w:val="28"/>
        </w:rPr>
        <w:t>В соответствии со статьей 160.1 Бюджетного кодекса Российской Федерации, Постановлением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Федерации», руководствуясь Уставом Акшинского муниципального округа Забайкальского края, администрация Акшинского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 т</w:t>
      </w:r>
      <w:r w:rsidRPr="00521D9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72EB5" w:rsidRPr="00521D9B" w:rsidRDefault="00072EB5" w:rsidP="0052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EB5" w:rsidRDefault="00A32236" w:rsidP="00072EB5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2236">
        <w:rPr>
          <w:rFonts w:ascii="Times New Roman" w:hAnsi="Times New Roman" w:cs="Times New Roman"/>
          <w:sz w:val="28"/>
          <w:szCs w:val="28"/>
        </w:rPr>
        <w:t xml:space="preserve">Утвердить прилагаемые Общие требования к методике прогнозирования поступлений доходов в бюджет Акшинского муниципального округа Забайкальского </w:t>
      </w:r>
      <w:r w:rsidR="00072EB5">
        <w:rPr>
          <w:rFonts w:ascii="Times New Roman" w:hAnsi="Times New Roman" w:cs="Times New Roman"/>
          <w:sz w:val="28"/>
          <w:szCs w:val="28"/>
        </w:rPr>
        <w:t>края (далее – Общие требования).</w:t>
      </w:r>
    </w:p>
    <w:p w:rsidR="00072EB5" w:rsidRPr="00072EB5" w:rsidRDefault="00072EB5" w:rsidP="00072EB5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</w:p>
    <w:p w:rsidR="00276621" w:rsidRDefault="00A32236" w:rsidP="00072EB5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2EB5">
        <w:rPr>
          <w:rFonts w:ascii="Times New Roman" w:hAnsi="Times New Roman" w:cs="Times New Roman"/>
          <w:sz w:val="28"/>
          <w:szCs w:val="28"/>
        </w:rPr>
        <w:t>Главным администраторам доходов бюджета Акшинского муниципального округа (далее – главные администраторы доходов) при разработке, утверждении и изменении методик прогнозирования поступлений доходов руководствоваться</w:t>
      </w:r>
      <w:r w:rsidR="00072EB5">
        <w:rPr>
          <w:rFonts w:ascii="Times New Roman" w:hAnsi="Times New Roman" w:cs="Times New Roman"/>
          <w:sz w:val="28"/>
          <w:szCs w:val="28"/>
        </w:rPr>
        <w:t xml:space="preserve"> настоящими Общими требованиям.</w:t>
      </w:r>
    </w:p>
    <w:p w:rsidR="00072EB5" w:rsidRPr="00072EB5" w:rsidRDefault="00072EB5" w:rsidP="00072EB5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</w:p>
    <w:p w:rsidR="00276621" w:rsidRDefault="00276621" w:rsidP="00072EB5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7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и информационно-коммуникационной сети «Интернет»</w:t>
      </w:r>
      <w:r w:rsidR="00697C36">
        <w:rPr>
          <w:rFonts w:ascii="Times New Roman" w:hAnsi="Times New Roman" w:cs="Times New Roman"/>
          <w:sz w:val="28"/>
          <w:szCs w:val="28"/>
        </w:rPr>
        <w:t>.</w:t>
      </w:r>
    </w:p>
    <w:p w:rsidR="00072EB5" w:rsidRPr="00072EB5" w:rsidRDefault="00072EB5" w:rsidP="00072EB5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</w:p>
    <w:p w:rsidR="00A32236" w:rsidRDefault="00A32236" w:rsidP="00072EB5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662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276621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Pr="00276621">
        <w:rPr>
          <w:rFonts w:ascii="Times New Roman" w:hAnsi="Times New Roman" w:cs="Times New Roman"/>
          <w:sz w:val="28"/>
          <w:szCs w:val="28"/>
        </w:rPr>
        <w:t>.</w:t>
      </w:r>
    </w:p>
    <w:p w:rsidR="00697C36" w:rsidRDefault="00697C36" w:rsidP="00072EB5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C36" w:rsidRDefault="00697C36" w:rsidP="00697C3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C36" w:rsidRDefault="00697C36" w:rsidP="00697C3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C36" w:rsidRDefault="00697C36" w:rsidP="00697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Акшинского муниципального округа </w:t>
      </w:r>
    </w:p>
    <w:p w:rsidR="00697C36" w:rsidRPr="00697C36" w:rsidRDefault="00697C36" w:rsidP="00697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                                                                                    П. М. Капустин</w:t>
      </w:r>
    </w:p>
    <w:p w:rsidR="0034689F" w:rsidRDefault="0034689F" w:rsidP="00046B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BBD" w:rsidRDefault="00046BBD" w:rsidP="00046B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2AF" w:rsidRDefault="003572AF" w:rsidP="00DE4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2E4" w:rsidRPr="00072EB5" w:rsidRDefault="007B12E4" w:rsidP="007B1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EB5">
        <w:rPr>
          <w:rFonts w:ascii="Times New Roman" w:hAnsi="Times New Roman" w:cs="Times New Roman"/>
          <w:b/>
          <w:sz w:val="28"/>
          <w:szCs w:val="28"/>
        </w:rPr>
        <w:lastRenderedPageBreak/>
        <w:t>МЕТОДИКА</w:t>
      </w:r>
    </w:p>
    <w:p w:rsidR="007B12E4" w:rsidRPr="003572AF" w:rsidRDefault="007B12E4" w:rsidP="00357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AF">
        <w:rPr>
          <w:rFonts w:ascii="Times New Roman" w:hAnsi="Times New Roman" w:cs="Times New Roman"/>
          <w:b/>
          <w:sz w:val="28"/>
          <w:szCs w:val="28"/>
        </w:rPr>
        <w:t>прогнозирования поступлений доходов в бюджеты бюджетной</w:t>
      </w:r>
    </w:p>
    <w:p w:rsidR="007B12E4" w:rsidRDefault="007B12E4" w:rsidP="00357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AF">
        <w:rPr>
          <w:rFonts w:ascii="Times New Roman" w:hAnsi="Times New Roman" w:cs="Times New Roman"/>
          <w:b/>
          <w:sz w:val="28"/>
          <w:szCs w:val="28"/>
        </w:rPr>
        <w:t>системы Российской Федерации</w:t>
      </w:r>
    </w:p>
    <w:p w:rsidR="003572AF" w:rsidRPr="003572AF" w:rsidRDefault="003572AF" w:rsidP="002E3E97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Методика прогнозирования поступления доходов в бюджет </w:t>
      </w:r>
      <w:r w:rsidRPr="002E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Акшинского </w:t>
      </w: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Забайкальского края (далее – Методика) определяет порядок прогнозирования поступлений доходов в бюджет </w:t>
      </w:r>
      <w:r w:rsidRPr="002E3E9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Акшинск</w:t>
      </w: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округа Забайкальского края (далее - бюджет муниципального округа), администрируемыми главными администраторами доходов муниципального округа.</w:t>
      </w:r>
    </w:p>
    <w:p w:rsidR="003572AF" w:rsidRPr="003572AF" w:rsidRDefault="003572AF" w:rsidP="002E3E97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разработана на основе единых подходов к прогнозированию поступлений доходов в бюджет муниципального округа в текущем финансовом году, очередном финансовом году и плановом периоде. Для текущего финансового года Методика предусматривает, в том числе, использование данных о фактических поступлениях доходов за истекшие месяцы этого года с описанием алгоритма их использования (в том числе увеличение или уменьшение прогноза доходов на сумму корректировки, рассчитываемой с учетом данных о фактических поступлениях доходов, уточнение прогнозируемых значений показателей, используемых для расчета прогнозного объема поступлений, с учетом их фактических значений).</w:t>
      </w:r>
    </w:p>
    <w:p w:rsidR="003572AF" w:rsidRPr="003572AF" w:rsidRDefault="003572AF" w:rsidP="002E3E97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Прогнозирование поступлений доходов осуществляется в соответствии с действующим бюджетным и налоговым законодательством Российской Федерации, законами, нормативными правовыми актами и документами Забайкальского края, нормативными правовыми актами и документами администрации </w:t>
      </w:r>
      <w:r w:rsidRPr="002E3E9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Акши</w:t>
      </w: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нского муниципального округа Забайкальского края (далее – администрация муниципального округа).</w:t>
      </w:r>
    </w:p>
    <w:p w:rsidR="003572AF" w:rsidRPr="003572AF" w:rsidRDefault="003572AF" w:rsidP="002E3E97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настоящей Методике используются следующие основные понятия и определения:</w:t>
      </w:r>
    </w:p>
    <w:p w:rsidR="003572AF" w:rsidRPr="003572AF" w:rsidRDefault="003572AF" w:rsidP="00DE4CC2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«отчетный финансовый год» - год, предшествующий текущему финансовому году (два года, предшествующие текущему финансовому году);</w:t>
      </w:r>
    </w:p>
    <w:p w:rsidR="003572AF" w:rsidRPr="003572AF" w:rsidRDefault="003572AF" w:rsidP="00DE4CC2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- «текущий финансовый год (период)» - год, в котором осуществляется исполнение бюджета, составление и рассмотрение проекта бюджета на очередной финансовый год и плановый период;</w:t>
      </w:r>
    </w:p>
    <w:p w:rsidR="003572AF" w:rsidRPr="003572AF" w:rsidRDefault="003572AF" w:rsidP="00DE4CC2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«очередной финансовый год» - год, следующий за текущим финансовым годом;</w:t>
      </w:r>
    </w:p>
    <w:p w:rsidR="003572AF" w:rsidRPr="003572AF" w:rsidRDefault="003572AF" w:rsidP="00DE4CC2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«плановый период» - два финансовых года, следующие за очередным финансовым годом;</w:t>
      </w:r>
    </w:p>
    <w:p w:rsidR="003572AF" w:rsidRPr="003572AF" w:rsidRDefault="003572AF" w:rsidP="00DE4CC2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«индекс роста цен» - индекс цен, используемый при пересчете в ценах базисного года стоимостных показателей, исчисленных в денежном выражении, с целью приведения их к уровню цен предыдущего периода.</w:t>
      </w:r>
    </w:p>
    <w:p w:rsidR="003572AF" w:rsidRPr="003572AF" w:rsidRDefault="003572AF" w:rsidP="00DE4CC2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прогноза администрируемых доходов производятся в соответствии со следующими документами и показателями:</w:t>
      </w:r>
    </w:p>
    <w:p w:rsidR="003572AF" w:rsidRPr="003572AF" w:rsidRDefault="003572AF" w:rsidP="00DE4CC2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- Бюджетный кодекс Российской Федерации;</w:t>
      </w:r>
    </w:p>
    <w:p w:rsidR="003572AF" w:rsidRPr="003572AF" w:rsidRDefault="003572AF" w:rsidP="00DE4CC2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основные направления бюджетной политики Российской Федерации на очередной финансовый год и плановый период;</w:t>
      </w:r>
    </w:p>
    <w:p w:rsidR="003572AF" w:rsidRPr="003572AF" w:rsidRDefault="003572AF" w:rsidP="00DE4CC2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прогноз социально-экономического развития муниципального округа на очередной финансовый год и плановый период;</w:t>
      </w:r>
    </w:p>
    <w:p w:rsidR="003572AF" w:rsidRPr="003572AF" w:rsidRDefault="003572AF" w:rsidP="00DE4CC2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направления бюджетной и налоговой политики муниципального округа на очередной финансовый год и плановый период;</w:t>
      </w:r>
    </w:p>
    <w:p w:rsidR="003572AF" w:rsidRPr="003572AF" w:rsidRDefault="003572AF" w:rsidP="00DE4CC2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отчетность об исполнении бюджета муниципального округа;</w:t>
      </w:r>
    </w:p>
    <w:p w:rsidR="003572AF" w:rsidRPr="003572AF" w:rsidRDefault="003572AF" w:rsidP="00DE4CC2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других данных, применяемых с целью повышения реалистичности и эффективности прогнозных расчетов.</w:t>
      </w:r>
    </w:p>
    <w:p w:rsidR="003572AF" w:rsidRPr="003572AF" w:rsidRDefault="003572AF" w:rsidP="002E3E97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прогноза администрируемых доходов производятся по каждому виду доходов в соответствии с бюджетной классификацией Российской Федерации согласно приложению к настоящей Методике.</w:t>
      </w:r>
    </w:p>
    <w:p w:rsidR="003572AF" w:rsidRPr="003572AF" w:rsidRDefault="003572AF" w:rsidP="002E3E97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Прогнозные значения объемов поступлений в бюджет рассчитываются с применением следующих методов расчетов:</w:t>
      </w:r>
    </w:p>
    <w:p w:rsidR="003572AF" w:rsidRPr="003572AF" w:rsidRDefault="003572AF" w:rsidP="002E3E97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определяющий прогнозный объем поступлений прогнозируемого вида дохода;</w:t>
      </w:r>
    </w:p>
    <w:p w:rsidR="003572AF" w:rsidRPr="003572AF" w:rsidRDefault="003572AF" w:rsidP="002E3E97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усреднение - расчет, осуществляемый на основании усреднения годовых объемов доходов не менее чем за 3 года или за весь период поступления соответствующего вида доходов, в случае, если он не превышает 3 года;</w:t>
      </w:r>
    </w:p>
    <w:p w:rsidR="003572AF" w:rsidRPr="003572AF" w:rsidRDefault="003572AF" w:rsidP="002E3E97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индексация - расчет с применением индекса потребительских цен или другого коэффициента, характеризующего динамику прогнозируемого вида дохода;</w:t>
      </w:r>
    </w:p>
    <w:p w:rsidR="003572AF" w:rsidRPr="003572AF" w:rsidRDefault="003572AF" w:rsidP="002E3E97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экстраполяция - расчет, осуществляемый на основании имеющихся данных о тенденциях изменения поступлений в предшествующие периоды;</w:t>
      </w:r>
    </w:p>
    <w:p w:rsidR="003572AF" w:rsidRPr="003572AF" w:rsidRDefault="003572AF" w:rsidP="002E3E97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иной способ, который должен быть описан и обоснован в методике прогнозирования;</w:t>
      </w:r>
    </w:p>
    <w:p w:rsidR="003572AF" w:rsidRPr="003572AF" w:rsidRDefault="003572AF" w:rsidP="002E3E97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прогнозного объема поступлений доходов учитываются:</w:t>
      </w:r>
    </w:p>
    <w:p w:rsidR="003572AF" w:rsidRPr="003572AF" w:rsidRDefault="003572AF" w:rsidP="002E3E97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влияние на объем поступлений доходов отдельных решений Президента Российской Федерации, Правительства Российской Федерации, Правительства Забайкальского края;</w:t>
      </w:r>
    </w:p>
    <w:p w:rsidR="003572AF" w:rsidRPr="003572AF" w:rsidRDefault="003572AF" w:rsidP="002E3E97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нормативные правовые акты Российской Федерации, Забайкальского края;</w:t>
      </w:r>
    </w:p>
    <w:p w:rsidR="003572AF" w:rsidRPr="003572AF" w:rsidRDefault="003572AF" w:rsidP="002E3E97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проекты нормативных правовых актов и (или) проекты актов, предусматривающих внесение изменений в соответствующие нормативные правовые акты;</w:t>
      </w:r>
    </w:p>
    <w:p w:rsidR="003572AF" w:rsidRPr="003572AF" w:rsidRDefault="003572AF" w:rsidP="002E3E97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оценка ожидаемых результатов работы по взысканию задолженности по платежам в бюджеты (за исключением задолженности, подлежащей учету на забалансовых счетах до принятия решения о ее восстановлении на балансовых счетах или списании с забалансовых счетов), получаемой на основании данных о </w:t>
      </w: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планирующемся зачислении, для всех видов доходов, по которым задолженность по платежам в бюджеты отражается в бюджетной отчетности главного администратора доходов.</w:t>
      </w:r>
    </w:p>
    <w:p w:rsidR="003572AF" w:rsidRPr="003572AF" w:rsidRDefault="003572AF" w:rsidP="002E3E97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расчетами главный администратор составляет пояснительную записку.</w:t>
      </w:r>
    </w:p>
    <w:p w:rsidR="003572AF" w:rsidRPr="003572AF" w:rsidRDefault="003572AF" w:rsidP="002E3E97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должна содержать информацию о нормативно-правовых актах, являющихся основанием для начисления доходов, и детальный анализ факторов, повлиявших на величину прогнозируемых доходов в количественном и суммовом выражении.</w:t>
      </w:r>
    </w:p>
    <w:p w:rsidR="003572AF" w:rsidRPr="003572AF" w:rsidRDefault="003572AF" w:rsidP="002E3E97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использования при расчете прогнозного объема </w:t>
      </w:r>
      <w:r w:rsidR="006102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поступлений</w:t>
      </w: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от организаций, получение таких данных производится по запросу в организацию.</w:t>
      </w:r>
    </w:p>
    <w:p w:rsidR="003572AF" w:rsidRPr="003572AF" w:rsidRDefault="003572AF" w:rsidP="002E3E97">
      <w:pPr>
        <w:spacing w:before="120" w:after="12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необходимых исходных данных и (или) наличии исходных данных, не позволяющих рассчитать реалистичные прогнозные показатели, прогноз доходов рассчитывается исходя из фактических поступлений этих доходов в отчетном периоде.</w:t>
      </w:r>
    </w:p>
    <w:p w:rsidR="00A32236" w:rsidRPr="002E3E97" w:rsidRDefault="003572AF" w:rsidP="002E3E97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2A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фактических и прогнозных поступлениях могут корректироваться на поступления, имеющие нестабильный (разовый) характер.</w:t>
      </w:r>
    </w:p>
    <w:tbl>
      <w:tblPr>
        <w:tblStyle w:val="a7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89"/>
        <w:gridCol w:w="1266"/>
        <w:gridCol w:w="1231"/>
        <w:gridCol w:w="1701"/>
        <w:gridCol w:w="1843"/>
        <w:gridCol w:w="1701"/>
      </w:tblGrid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Код КБК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Наименование дохода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Метод прогнозирования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Формула расчета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Описание показателей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Источник данных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Периодичность расчета</w:t>
            </w: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Cs w:val="24"/>
                <w:lang w:eastAsia="ru-RU"/>
              </w:rPr>
              <w:t>НАЛОГОВЫЕ ДОХОДЫ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Прямой расчёт + индексация</w:t>
            </w: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EBEEF2"/>
                <w:lang w:eastAsia="ru-RU"/>
              </w:rPr>
              <w:t>ПНДФЛ = (ФОТпрогн - Впрогн) × Стср / 100% × Ксоб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ФОТпрогн – прогнозируемый фонд оплаты труда на территории округа; Впрогн – прогнозная сумма налоговых вычетов; Стср – средняя эффективная ставка НДФЛ; Ксоб – коэффициент собираемости</w:t>
            </w: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Отдел экономики администрации (прогноз ФОТ); УФНС по Забайкальскому краю (форма 5-НДФЛ); Отчёт об исполнении бюджета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Ежегодно, уточнение – по итогам 9 месяцев</w:t>
            </w: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Прямой расчёт</w:t>
            </w: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EBEEF2"/>
                <w:lang w:eastAsia="ru-RU"/>
              </w:rPr>
              <w:t>ПЕСХН = (Дпрогн - Рпрогн) × 6% × Ксоб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Дпрогн – прогнозируемые доходы налогоплательщиков ЕСХН; Рпрогн – </w:t>
            </w: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прогнозируемые расходы; Ксоб – коэффициент собираемости</w:t>
            </w: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 xml:space="preserve">УФНС по Забайкальскому краю (форма 5-ЕСХН); Отдел сельского хозяйства </w:t>
            </w: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администрации; Отчёт об исполнении бюджета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Прямой расчёт</w:t>
            </w: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EBEEF2"/>
                <w:lang w:eastAsia="ru-RU"/>
              </w:rPr>
              <w:t>ПЗН = Σ(КСi × СТi) × Ксоб - Лпрогн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КСi – кадастровая стоимость земельного участка категории i; СТi – налоговая ставка (%, установленная решением Совета округа); Ксоб – коэффициент собираемости; Лпрогн – прогнозная сумма налоговых льгот</w:t>
            </w: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Росреестр (данные кадастровой стоимости); УФНС по Забайкальскому краю; Решения Совета округа о ставках; КУМИ (о льготах)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Ежегодно</w:t>
            </w: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Прямой расчёт</w:t>
            </w: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EBEEF2"/>
                <w:lang w:eastAsia="ru-RU"/>
              </w:rPr>
              <w:t>ПНИФЛ = (Инвстоимость × СТинв + Кадстоимость × СТкад) × Ксоб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Инвстоимость – инвентаризационная стоимость объектов; Кадстоимость – кадастровая стоимость объектов (при утверждении); СТинв, СТкад – ставки налога; Ксоб – коэффициент собираемости</w:t>
            </w: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УФНС по Забайкальскому краю; Росреестр; Отчёт об исполнении бюджета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Ежегодно</w:t>
            </w: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Экстраполяция + усреднение</w:t>
            </w: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EBEEF2"/>
                <w:lang w:eastAsia="ru-RU"/>
              </w:rPr>
              <w:t>Пгп = (Пгпt-3 + Пгпt-2 + Пгпt-1) / 3 × К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Пгпt – фактические поступления за последние 3 года; К – </w:t>
            </w: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коэффициент изменения размера госпошлины (при изменении законодательства)</w:t>
            </w: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 xml:space="preserve">Отчёт об исполнении бюджета; УФНС по </w:t>
            </w: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Забайкальскому краю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Ежегодно, уточнение – по итогам 9 месяцев</w:t>
            </w: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ДОХОДЫ ОТ ИСПОЛЬЗОВАНИЯ ИМУЩЕСТВА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Доходы от сдачи в аренду имущества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Прямой расчёт</w:t>
            </w: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en-US"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EBEEF2"/>
                <w:lang w:val="en-US" w:eastAsia="ru-RU"/>
              </w:rPr>
              <w:t>D</w:t>
            </w: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EBEEF2"/>
                <w:lang w:eastAsia="ru-RU"/>
              </w:rPr>
              <w:t>а</w:t>
            </w: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EBEEF2"/>
                <w:lang w:val="en-US" w:eastAsia="ru-RU"/>
              </w:rPr>
              <w:t xml:space="preserve"> = </w:t>
            </w: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EBEEF2"/>
                <w:lang w:eastAsia="ru-RU"/>
              </w:rPr>
              <w:t>Σ</w:t>
            </w: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EBEEF2"/>
                <w:lang w:val="en-US" w:eastAsia="ru-RU"/>
              </w:rPr>
              <w:t xml:space="preserve"> (S × Ca × T) + Dz ± R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Da – прогнозный объём доходов от аренды; S – площадь, сдаваемая в аренду; Ca – средняя ставка арендной платы в месяц; T – количество месяцев; Dz – ожидаемое погашение дебиторской задолженности; R – корректирующая сумма</w:t>
            </w: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КУМИ (договоры аренды); План приватизации и аренды; Отчёт об исполнении бюджета (форма 0503169)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Ежемесячно, итоговый – ежегодно</w:t>
            </w: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Прочие поступления от использования имущества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Прямой расчёт / усреднение</w:t>
            </w: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EBEEF2"/>
                <w:lang w:eastAsia="ru-RU"/>
              </w:rPr>
              <w:t>Ппроч = Σ договоров + Ожидпост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Сумма действующих договоров на 1 января + ожидаемые поступления от новых договоров с коэффициентом 0,95</w:t>
            </w: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КУМИ (данные договоров); Администраторы доходов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Ежегодно</w:t>
            </w: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ПЛАТЕЖИ ПРИ ПОЛЬЗОВАНИИ ПРИРОД</w:t>
            </w: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lastRenderedPageBreak/>
              <w:t>НЫМИ РЕСУРСАМИ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1 12 01000 00 0000 120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Прямой расчёт</w:t>
            </w: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EBEEF2"/>
                <w:lang w:eastAsia="ru-RU"/>
              </w:rPr>
              <w:t>Пнв = Σ (Vвредi × Ставкаi) × Ксоб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Vвредi – объём вредного воздействия i-го вида; Ставкаi – установленная ставка платы; Ксоб – коэффициент собираемости</w:t>
            </w: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Управление Росприроднадзора; Отчётность плательщиков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Ежегодно</w:t>
            </w: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Cs w:val="24"/>
                <w:lang w:eastAsia="ru-RU"/>
              </w:rPr>
              <w:t>ДОХОДЫ ОТ ОКАЗАНИЯ ПЛАТНЫХ УСЛУГ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Доходы от оказания платных услуг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Прямой расчёт</w:t>
            </w: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EBEEF2"/>
                <w:lang w:eastAsia="ru-RU"/>
              </w:rPr>
              <w:t>Dp = Σ (Pij × Kij) + Dz ± R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Dp – общий объём доходов от платных услуг; Pij – стоимость j-й услуги i-го вида; Kij – количество планируемых оказаний услуг; Dz – дебиторская задолженность; R – корректировка</w:t>
            </w: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Отчеты структурных подразделений; Прейскуранты цен на услуги; Данные бухгалтерского учёта (форма 0503169)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Ежемесячно, итоговый – ежегодно</w:t>
            </w: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Доходы от продажи земельн</w:t>
            </w: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ых участков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Экстраполяция + экспертная оценка</w:t>
            </w: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EBEEF2"/>
                <w:lang w:eastAsia="ru-RU"/>
              </w:rPr>
              <w:t>Ппродажа = (Пфактt-3 + Пфактt-</w:t>
            </w: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EBEEF2"/>
                <w:lang w:eastAsia="ru-RU"/>
              </w:rPr>
              <w:lastRenderedPageBreak/>
              <w:t>2 + Пфактt-1) / 3 × Крын × Кплощ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 xml:space="preserve">Пфакт – фактические поступления за 3 года; </w:t>
            </w: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Крын – прогнозный индекс изменения рыночной стоимости земли; Кплощ – коэффициент изменения площади участков, планируемых к продаже</w:t>
            </w: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 xml:space="preserve">КУМИ (план продажи земельных участков); </w:t>
            </w: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Отчёт об исполнении бюджета; Росреестр (рыночная стоимость)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1 14 02000 00 0000 440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Доходы от реализации имущества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Прямой расчёт (по плану приватизации)</w:t>
            </w: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EBEEF2"/>
                <w:lang w:eastAsia="ru-RU"/>
              </w:rPr>
              <w:t>Преал = Σ Цi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Цi – цена продажи i-го объекта, планируемого к приватизации</w:t>
            </w: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План приватизации муниципального имущества; Отчёт об исполнении бюджета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Ежегодно</w:t>
            </w: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1 15 00000 00 0000 000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Cs w:val="24"/>
                <w:lang w:eastAsia="ru-RU"/>
              </w:rPr>
              <w:t>АДМИНИСТРАТИВНЫЕ ПЛАТЕЖИ И СБОРЫ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1 15 00000 00 0000 000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Платежи, взимаемые за оказание услуг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Прямой расчёт / усреднение</w:t>
            </w: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 фактическим поступлениям за предыдущий период с учётом планируемых изменений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Данные администраторов доходов; Отчёт об исполнении бюджета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Ежегодно</w:t>
            </w: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1 16 00000 00 0000 140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Усреднение за 3 года</w:t>
            </w: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shd w:val="clear" w:color="auto" w:fill="EBEEF2"/>
                <w:lang w:eastAsia="ru-RU"/>
              </w:rPr>
              <w:t>Пшт = (Пштt-3 + Пштt-2 + Пштt-1) / 3 × Кпр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Пшт – фактические поступления штрафов за 3 года; Кпр – прогнозный </w:t>
            </w: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коэффициент изменения числа правонарушений</w:t>
            </w: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 xml:space="preserve">Отчёты администраторов доходов; Данные судебных органов; Отчёт </w:t>
            </w: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об исполнении бюджета (форма 0503127)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Ежеквартально, итоговый – ежегодно</w:t>
            </w: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1 17 00000 00 0000 180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Экспертная оценка / усреднение</w:t>
            </w: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 фактическим поступлениям за последние 3 года или экспертная оценка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Данные администраторов доходов; Отчёт об исполнении бюджета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Ежегодно</w:t>
            </w: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bCs/>
                <w:color w:val="0F1115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C34" w:rsidRPr="00A32236" w:rsidTr="00CE7C34">
        <w:tc>
          <w:tcPr>
            <w:tcW w:w="567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134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189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Безвозмездные поступления от других бюджетов</w:t>
            </w:r>
          </w:p>
        </w:tc>
        <w:tc>
          <w:tcPr>
            <w:tcW w:w="1266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Прямой расчёт (по уведомлениям)</w:t>
            </w:r>
          </w:p>
        </w:tc>
        <w:tc>
          <w:tcPr>
            <w:tcW w:w="123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 соответствии с проектом закона Забайкальского края о краевом бюджете[ citation:7]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Проект закона Забайкальского края о краевом бюджете; Уведомления о предоставлении межбюджетных трансфертов</w:t>
            </w:r>
          </w:p>
        </w:tc>
        <w:tc>
          <w:tcPr>
            <w:tcW w:w="1701" w:type="dxa"/>
            <w:hideMark/>
          </w:tcPr>
          <w:p w:rsidR="00CE7C34" w:rsidRPr="00A32236" w:rsidRDefault="00CE7C34" w:rsidP="00A32236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322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 мере поступления уведомлений; итоговый – после принятия краевого бюджета</w:t>
            </w:r>
          </w:p>
        </w:tc>
      </w:tr>
    </w:tbl>
    <w:p w:rsidR="007B12E4" w:rsidRPr="00A32236" w:rsidRDefault="007B12E4" w:rsidP="00A3223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1"/>
      <w:bookmarkEnd w:id="1"/>
      <w:r w:rsidRPr="00A32236">
        <w:rPr>
          <w:rFonts w:ascii="Times New Roman" w:hAnsi="Times New Roman" w:cs="Times New Roman"/>
          <w:sz w:val="28"/>
          <w:szCs w:val="28"/>
        </w:rPr>
        <w:t>&lt;1&gt; Код бюджетной классификации доходов без пробелов и кода главы главного администратора доходов бюджета.</w:t>
      </w:r>
    </w:p>
    <w:p w:rsidR="007B12E4" w:rsidRPr="00A32236" w:rsidRDefault="007B12E4" w:rsidP="00A3223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2"/>
      <w:bookmarkEnd w:id="2"/>
      <w:r w:rsidRPr="00A32236">
        <w:rPr>
          <w:rFonts w:ascii="Times New Roman" w:hAnsi="Times New Roman" w:cs="Times New Roman"/>
          <w:sz w:val="28"/>
          <w:szCs w:val="28"/>
        </w:rPr>
        <w:t xml:space="preserve">&lt;2&gt; Характеристика метода расчета прогнозного объема поступлений (определяемая в соответствии </w:t>
      </w:r>
      <w:r w:rsidRPr="0007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7" w:history="1">
        <w:r w:rsidRPr="00072EB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"в" пункта 3</w:t>
        </w:r>
      </w:hyperlink>
      <w:r w:rsidRPr="00A32236">
        <w:rPr>
          <w:rFonts w:ascii="Times New Roman" w:hAnsi="Times New Roman" w:cs="Times New Roman"/>
          <w:sz w:val="28"/>
          <w:szCs w:val="28"/>
        </w:rPr>
        <w:t xml:space="preserve">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2016 г. N 574 "Об общих требованиях к методике прогнозирования поступлений доходов в бюджеты бюджетной системы Российской Федерации").</w:t>
      </w:r>
    </w:p>
    <w:p w:rsidR="007B12E4" w:rsidRPr="00A32236" w:rsidRDefault="007B12E4" w:rsidP="00A3223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3"/>
      <w:bookmarkEnd w:id="3"/>
      <w:r w:rsidRPr="00A32236">
        <w:rPr>
          <w:rFonts w:ascii="Times New Roman" w:hAnsi="Times New Roman" w:cs="Times New Roman"/>
          <w:sz w:val="28"/>
          <w:szCs w:val="28"/>
        </w:rPr>
        <w:t>&lt;3&gt; Формула расчета прогнозируемого объема поступлений (при наличии).</w:t>
      </w:r>
    </w:p>
    <w:p w:rsidR="007B12E4" w:rsidRPr="00A32236" w:rsidRDefault="007B12E4" w:rsidP="00A3223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4"/>
      <w:bookmarkEnd w:id="4"/>
      <w:r w:rsidRPr="00A32236">
        <w:rPr>
          <w:rFonts w:ascii="Times New Roman" w:hAnsi="Times New Roman" w:cs="Times New Roman"/>
          <w:sz w:val="28"/>
          <w:szCs w:val="28"/>
        </w:rPr>
        <w:t>&lt;4&gt; Описание фактического алгоритма расчета прогнозируемого объема поступлений (обязательно - в случае отсутствия формулы расчета, по решению главного администратора доходов - в случае наличия формулы расчета).</w:t>
      </w:r>
    </w:p>
    <w:p w:rsidR="00EF5544" w:rsidRPr="00CE7C34" w:rsidRDefault="007B12E4" w:rsidP="00CE7C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5"/>
      <w:bookmarkEnd w:id="5"/>
      <w:r w:rsidRPr="00A32236">
        <w:rPr>
          <w:rFonts w:ascii="Times New Roman" w:hAnsi="Times New Roman" w:cs="Times New Roman"/>
          <w:sz w:val="28"/>
          <w:szCs w:val="28"/>
        </w:rPr>
        <w:lastRenderedPageBreak/>
        <w:t>&lt;5&gt; 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 соответствующих показателей.</w:t>
      </w:r>
    </w:p>
    <w:p w:rsidR="00EC20C9" w:rsidRDefault="00EC20C9" w:rsidP="00540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0C9" w:rsidRPr="001E6EFF" w:rsidRDefault="00EC20C9" w:rsidP="00CE7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20C9" w:rsidRPr="001E6EFF" w:rsidSect="00A43576">
      <w:pgSz w:w="11905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941" w:rsidRDefault="00EC0941" w:rsidP="00EC20C9">
      <w:pPr>
        <w:spacing w:after="0" w:line="240" w:lineRule="auto"/>
      </w:pPr>
      <w:r>
        <w:separator/>
      </w:r>
    </w:p>
  </w:endnote>
  <w:endnote w:type="continuationSeparator" w:id="0">
    <w:p w:rsidR="00EC0941" w:rsidRDefault="00EC0941" w:rsidP="00EC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941" w:rsidRDefault="00EC0941" w:rsidP="00EC20C9">
      <w:pPr>
        <w:spacing w:after="0" w:line="240" w:lineRule="auto"/>
      </w:pPr>
      <w:r>
        <w:separator/>
      </w:r>
    </w:p>
  </w:footnote>
  <w:footnote w:type="continuationSeparator" w:id="0">
    <w:p w:rsidR="00EC0941" w:rsidRDefault="00EC0941" w:rsidP="00EC2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64E78"/>
    <w:multiLevelType w:val="hybridMultilevel"/>
    <w:tmpl w:val="1F5A151E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59C64F48"/>
    <w:multiLevelType w:val="multilevel"/>
    <w:tmpl w:val="AA60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E25A4"/>
    <w:multiLevelType w:val="multilevel"/>
    <w:tmpl w:val="5B78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4D18B0"/>
    <w:multiLevelType w:val="hybridMultilevel"/>
    <w:tmpl w:val="8E3AB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FF"/>
    <w:rsid w:val="00046BBD"/>
    <w:rsid w:val="00064BE6"/>
    <w:rsid w:val="00072EB5"/>
    <w:rsid w:val="001545E7"/>
    <w:rsid w:val="001E6EFF"/>
    <w:rsid w:val="00276621"/>
    <w:rsid w:val="002B5F5C"/>
    <w:rsid w:val="002E2210"/>
    <w:rsid w:val="002E3E97"/>
    <w:rsid w:val="00323840"/>
    <w:rsid w:val="0034689F"/>
    <w:rsid w:val="003572AF"/>
    <w:rsid w:val="004B776E"/>
    <w:rsid w:val="00521D9B"/>
    <w:rsid w:val="00533D8F"/>
    <w:rsid w:val="00540F8F"/>
    <w:rsid w:val="006102CC"/>
    <w:rsid w:val="00662056"/>
    <w:rsid w:val="00697C36"/>
    <w:rsid w:val="006E7C22"/>
    <w:rsid w:val="007B12E4"/>
    <w:rsid w:val="00827BF4"/>
    <w:rsid w:val="0083097D"/>
    <w:rsid w:val="00856E80"/>
    <w:rsid w:val="00884E87"/>
    <w:rsid w:val="0095626D"/>
    <w:rsid w:val="00A32236"/>
    <w:rsid w:val="00A43576"/>
    <w:rsid w:val="00A801DC"/>
    <w:rsid w:val="00B025D7"/>
    <w:rsid w:val="00C838D2"/>
    <w:rsid w:val="00CE7C34"/>
    <w:rsid w:val="00D27F6B"/>
    <w:rsid w:val="00DE4CC2"/>
    <w:rsid w:val="00EC0941"/>
    <w:rsid w:val="00EC20C9"/>
    <w:rsid w:val="00E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EFA50-702D-4C7D-976C-D5F0A42B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20C9"/>
  </w:style>
  <w:style w:type="paragraph" w:styleId="a5">
    <w:name w:val="footer"/>
    <w:basedOn w:val="a"/>
    <w:link w:val="a6"/>
    <w:uiPriority w:val="99"/>
    <w:unhideWhenUsed/>
    <w:rsid w:val="00EC2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20C9"/>
  </w:style>
  <w:style w:type="table" w:styleId="a7">
    <w:name w:val="Table Grid"/>
    <w:basedOn w:val="a1"/>
    <w:uiPriority w:val="39"/>
    <w:rsid w:val="00A32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3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223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32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531006&amp;dst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10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zpseti</dc:creator>
  <cp:keywords/>
  <dc:description/>
  <cp:lastModifiedBy>zpseti</cp:lastModifiedBy>
  <cp:revision>11</cp:revision>
  <cp:lastPrinted>2026-05-14T00:33:00Z</cp:lastPrinted>
  <dcterms:created xsi:type="dcterms:W3CDTF">2026-05-05T04:47:00Z</dcterms:created>
  <dcterms:modified xsi:type="dcterms:W3CDTF">2026-05-14T01:18:00Z</dcterms:modified>
</cp:coreProperties>
</file>