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shd w:val="clear" w:color="auto" w:fill="FFFFFF"/>
        <w:spacing w:after="0" w:line="240" w:lineRule="auto"/>
        <w:rPr>
          <w:lang w:val="en-US"/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</w:p>
    <w:p>
      <w:pPr>
        <w:jc w:val="center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Александрово-Завод</w:t>
      </w:r>
      <w:r>
        <w:rPr>
          <w:rFonts w:ascii="Times New Roman" w:hAnsi="Times New Roman"/>
          <w:b/>
          <w:sz w:val="28"/>
          <w:szCs w:val="28"/>
        </w:rPr>
        <w:t>ского муниципального округа</w:t>
      </w: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СТАНДАРТ ВНЕШНЕГО МУНИЦИПАЛЬНОГО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ФИНАНСОВОГО КОНТРОЛЯ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«ПОРЯДОК ПРОВЕДЕНИЯ ВНЕШНЕЙ ПРОВЕРКИ ГОДОВОГО ОТЧЕТА ОБ ИСПОЛНЕНИИ МЕСТНОГО БЮДЖЕТА»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(утвержден </w:t>
      </w:r>
      <w:r>
        <w:rPr>
          <w:rFonts w:ascii="Times New Roman" w:hAnsi="Times New Roman"/>
          <w:sz w:val="28"/>
          <w:szCs w:val="28"/>
          <w:rtl w:val="off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председателя 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/>
          <w:sz w:val="28"/>
          <w:szCs w:val="28"/>
          <w:rtl w:val="off"/>
        </w:rPr>
        <w:t>02</w:t>
      </w:r>
      <w:r>
        <w:rPr>
          <w:rFonts w:ascii="Times New Roman" w:hAnsi="Times New Roman"/>
          <w:sz w:val="28"/>
          <w:szCs w:val="28"/>
        </w:rPr>
        <w:t>.12.2024 года №</w:t>
      </w:r>
      <w:r>
        <w:rPr>
          <w:rFonts w:ascii="Times New Roman" w:hAnsi="Times New Roman"/>
          <w:sz w:val="28"/>
          <w:szCs w:val="28"/>
          <w:rtl w:val="off"/>
        </w:rPr>
        <w:t xml:space="preserve"> 10</w:t>
      </w:r>
      <w:r>
        <w:rPr>
          <w:rFonts w:ascii="Times New Roman" w:hAnsi="Times New Roman"/>
          <w:sz w:val="28"/>
          <w:szCs w:val="28"/>
        </w:rPr>
        <w:t>-ОД)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  <w:rtl w:val="off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с. Александровский Завод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aff4"/>
        <w:rPr>
          <w:b/>
          <w:szCs w:val="28"/>
        </w:rPr>
      </w:pPr>
      <w:r>
        <w:rPr>
          <w:b/>
          <w:szCs w:val="28"/>
        </w:rPr>
        <w:t>Содержание</w:t>
      </w:r>
    </w:p>
    <w:p>
      <w:pPr>
        <w:widowControl w:val="o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79" w:type="dxa"/>
        <w:tblLook w:val="0000" w:firstRow="0" w:lastRow="0" w:firstColumn="0" w:lastColumn="0" w:noHBand="0" w:noVBand="0"/>
        <w:tblLayout w:type="fixed"/>
      </w:tblPr>
      <w:tblGrid>
        <w:gridCol w:w="754"/>
        <w:gridCol w:w="8073"/>
        <w:gridCol w:w="1080"/>
      </w:tblGrid>
      <w:tr>
        <w:tc>
          <w:tcPr>
            <w:tcW w:w="754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1.</w:t>
            </w:r>
          </w:p>
        </w:tc>
        <w:tc>
          <w:tcPr>
            <w:tcW w:w="8073" w:type="dxa"/>
          </w:tcPr>
          <w:p>
            <w:pPr>
              <w:ind w:left="34"/>
              <w:widowControl w:val="o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Общие положения…………………………………………………....</w:t>
            </w:r>
          </w:p>
        </w:tc>
        <w:tc>
          <w:tcPr>
            <w:tcW w:w="1080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3</w:t>
            </w: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</w:tc>
      </w:tr>
      <w:tr>
        <w:tc>
          <w:tcPr>
            <w:tcW w:w="754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2.</w:t>
            </w:r>
          </w:p>
        </w:tc>
        <w:tc>
          <w:tcPr>
            <w:tcW w:w="8073" w:type="dxa"/>
          </w:tcPr>
          <w:p>
            <w:pPr>
              <w:ind w:left="34"/>
              <w:widowControl w:val="off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рганизационные, правовые, информационные основы внешней проверки бюджетной отчетности и подготовки заключения Контрольно-счетного органа……………………………………….</w:t>
            </w:r>
          </w:p>
        </w:tc>
        <w:tc>
          <w:tcPr>
            <w:tcW w:w="1080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5</w:t>
            </w: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</w:tc>
      </w:tr>
      <w:tr>
        <w:trPr>
          <w:trHeight w:val="394" w:hRule="atLeast"/>
        </w:trPr>
        <w:tc>
          <w:tcPr>
            <w:tcW w:w="754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3.</w:t>
            </w:r>
          </w:p>
        </w:tc>
        <w:tc>
          <w:tcPr>
            <w:tcW w:w="8073" w:type="dxa"/>
          </w:tcPr>
          <w:p>
            <w:pPr>
              <w:ind w:left="34"/>
              <w:widowControl w:val="off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подготовки и проведения внешней проверки бюджетной отчетности………………………………………………</w:t>
            </w:r>
          </w:p>
        </w:tc>
        <w:tc>
          <w:tcPr>
            <w:tcW w:w="1080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  <w:t>6</w:t>
            </w:r>
          </w:p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</w:tc>
      </w:tr>
      <w:tr>
        <w:tc>
          <w:tcPr>
            <w:tcW w:w="75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8073" w:type="dxa"/>
          </w:tcPr>
          <w:p>
            <w:pPr>
              <w:widowControl w:val="off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и подписание заключения Контрольно-счетного органа на отчет об исполнении местного бюджета за отчетный финансовый год и представление в представительный орган муниципального округа 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>
            <w:pPr>
              <w:ind w:left="34"/>
              <w:widowControl w:val="off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>
            <w:pPr>
              <w:widowControl w:val="off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pStyle w:val="aff4"/>
        <w:ind w:firstLine="709"/>
        <w:widowControl w:val="off"/>
        <w:jc w:val="both"/>
        <w:rPr>
          <w:szCs w:val="28"/>
        </w:rPr>
      </w:pPr>
    </w:p>
    <w:p>
      <w:pPr>
        <w:keepNext/>
        <w:widowControl w:val="off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/>
        <w:widowControl w:val="off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keepNext/>
        <w:widowControl w:val="off"/>
        <w:spacing w:after="0"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keepNext/>
        <w:widowControl w:val="off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>
      <w:pPr>
        <w:pStyle w:val="aff4"/>
        <w:ind w:firstLine="709"/>
        <w:jc w:val="both"/>
        <w:rPr>
          <w:szCs w:val="28"/>
        </w:rPr>
      </w:pPr>
      <w:r>
        <w:rPr>
          <w:szCs w:val="28"/>
        </w:rPr>
        <w:t>1.1. Стандарт внешнего муниципального финансового контроля «Порядок проведения внешней проверки годового отчета об исполнении местного бюджета» (далее – Стандарт) 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 (протокол от 17.10.2014 №47К (993)).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>
        <w:rPr>
          <w:rFonts w:ascii="Times New Roman" w:hAnsi="Times New Roman" w:cs="Times New Roman"/>
          <w:iCs/>
          <w:sz w:val="28"/>
          <w:szCs w:val="28"/>
          <w:spacing w:val="-1"/>
        </w:rPr>
        <w:t xml:space="preserve"> Стандарта внешнего государственного аудита (контроля) </w:t>
      </w:r>
      <w:r>
        <w:rPr>
          <w:rFonts w:ascii="Times New Roman" w:hAnsi="Times New Roman" w:cs="Times New Roman"/>
          <w:iCs/>
          <w:sz w:val="28"/>
          <w:szCs w:val="28"/>
        </w:rPr>
        <w:t xml:space="preserve">Счетной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СГА 203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Последующий контроль за исполнением федерального бюджета» (утв. Коллегией Счетной палаты РФ, постановление от 21.04.2017 № 3ПК), международных стандартов в области государственного контроля, аудита и финансовой отчетности.</w:t>
      </w:r>
    </w:p>
    <w:p>
      <w:pPr>
        <w:pStyle w:val="aff4"/>
        <w:ind w:firstLine="709"/>
        <w:widowControl w:val="off"/>
        <w:jc w:val="both"/>
        <w:tabs>
          <w:tab w:val="left" w:pos="720"/>
        </w:tabs>
        <w:rPr>
          <w:szCs w:val="28"/>
        </w:rPr>
      </w:pPr>
      <w:r>
        <w:rPr>
          <w:szCs w:val="28"/>
        </w:rPr>
        <w:t xml:space="preserve">1.3. Стандарт разработан для использования сотрудниками Контрольно-счетного органа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 при организации и проведении комплекса мероприятий по внешней проверке бюджетной отчетности главных администраторов бюджетных средств и годового отчета об исполнении местного бюджета.</w:t>
      </w:r>
    </w:p>
    <w:p>
      <w:pPr>
        <w:pStyle w:val="aff4"/>
        <w:ind w:firstLine="709"/>
        <w:widowControl w:val="off"/>
        <w:jc w:val="both"/>
        <w:tabs>
          <w:tab w:val="left" w:pos="426"/>
        </w:tabs>
        <w:rPr>
          <w:szCs w:val="28"/>
        </w:rPr>
      </w:pPr>
      <w:r>
        <w:rPr>
          <w:szCs w:val="28"/>
        </w:rPr>
        <w:t xml:space="preserve">1.4. Целью настоящего стандарта является установление общих правил и процедур организации и проведения Контрольно-счетного органа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 (далее - КСО) комплекса мероприятий по внешней проверке бюджетной отчетности главных администраторов бюджетных средств и годового отчета об исполнении местного бюджета.</w:t>
      </w:r>
    </w:p>
    <w:p>
      <w:pPr>
        <w:pStyle w:val="aff4"/>
        <w:ind w:firstLine="709"/>
        <w:widowControl w:val="off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1.5. Настоящий Стандарт устанавливает:</w:t>
      </w:r>
    </w:p>
    <w:p>
      <w:pPr>
        <w:pStyle w:val="aff4"/>
        <w:ind w:firstLine="709"/>
        <w:widowControl w:val="off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основные принципы и этапы организации и проведения внешней проверки годового отчета об исполнении местного бюджета;</w:t>
      </w:r>
    </w:p>
    <w:p>
      <w:pPr>
        <w:pStyle w:val="aff4"/>
        <w:ind w:firstLine="709"/>
        <w:widowControl w:val="off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структуру, содержание и основные требования к заключениям КСО, подготавливаемым по результатам внешних проверок главных администраторов бюджетных средств и годового отчета об исполнении местного бюджета;</w:t>
      </w:r>
    </w:p>
    <w:p>
      <w:pPr>
        <w:pStyle w:val="aff4"/>
        <w:ind w:firstLine="709"/>
        <w:widowControl w:val="off"/>
        <w:jc w:val="both"/>
        <w:tabs>
          <w:tab w:val="left" w:pos="426"/>
        </w:tabs>
        <w:rPr>
          <w:iCs/>
          <w:szCs w:val="28"/>
        </w:rPr>
      </w:pPr>
      <w:r>
        <w:rPr>
          <w:szCs w:val="28"/>
        </w:rPr>
        <w:t>порядок рассмотрения и подписания заключений КСО по результатам внешней проверки бюджетной отчетности за отчетный финансовый год</w:t>
      </w:r>
      <w:r>
        <w:rPr>
          <w:iCs/>
          <w:szCs w:val="28"/>
        </w:rPr>
        <w:t>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Задачами стандарта являются: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унификация требований к подготовке и проведению комплекса мероприятий по внешней проверке бюджетной отчетности главных администраторов бюджетных средств и годового отчета об исполнении местного бюджета, оформлению заключений по ее результатам;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комплекса мероприятий по внешней проверке бюджетной отчетности главных администраторов бюджетных средств и годового отчета об исполнении местного бюджета,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государственного финансового контроля научных достижений и новых технологий,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рисков внешнего государственного финансового контроля,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КСО, способствование соблюдению ими этических норм,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деятельности КСО,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независимого статуса и общественного престижа органов государственного финансового контроля.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 выполнении требований настоящего стандарта сотрудники КСО должны руководствоваться положениями: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Закона Забайкальского края от 25.07.2008 №18-ЗЗК «О противодействии коррупции в Забайкальском крае»,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иных нормативных правовых актов,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Положения о Контрольно-счетном органе </w:t>
      </w:r>
      <w:r>
        <w:rPr>
          <w:rFonts w:ascii="Times New Roman" w:hAnsi="Times New Roman" w:cs="Times New Roman"/>
          <w:sz w:val="28"/>
          <w:szCs w:val="28"/>
          <w:rtl w:val="off"/>
        </w:rPr>
        <w:t>Александрово-Заводского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sz w:val="28"/>
          <w:szCs w:val="28"/>
          <w:rtl w:val="off"/>
        </w:rPr>
        <w:t>Александрово- 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</w:t>
      </w:r>
      <w:r>
        <w:rPr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>12</w:t>
      </w:r>
      <w:r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Регламента Контрольно-счетного органа, иных муниципальных правовых актов и локальных актов Контрольно-счетного органа.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случае противоречия настоящего стандарта и иного стандарта внешнего муниципального финансового контроля КСО применению подлежат положения настоящего специализированного стандарта.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1.7. настоящего стандарта.  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Решения по вопросам проведения комплекса мероприятий по внешней проверке бюджетной отчетности главных администраторов бюджетных средств и годового отчета об исполнении местного бюджета (оформления их результатов), неурегулированным нормативными правовыми актами, настоящим стандартом и иными правовыми актами КСО, принимаются председателем Контрольно-счетного органа.  </w:t>
      </w:r>
    </w:p>
    <w:p>
      <w:pPr>
        <w:pStyle w:val="aff4"/>
        <w:ind w:firstLine="709"/>
        <w:widowControl w:val="off"/>
        <w:jc w:val="both"/>
        <w:tabs>
          <w:tab w:val="left" w:pos="5529"/>
        </w:tabs>
        <w:rPr>
          <w:bCs/>
          <w:szCs w:val="28"/>
        </w:rPr>
      </w:pPr>
      <w:r>
        <w:rPr>
          <w:bCs/>
          <w:szCs w:val="28"/>
        </w:rPr>
        <w:t>1.11. Календарные сроки проведения комплекса</w:t>
      </w:r>
      <w:r>
        <w:rPr>
          <w:b/>
          <w:szCs w:val="28"/>
        </w:rPr>
        <w:t xml:space="preserve"> </w:t>
      </w:r>
      <w:r>
        <w:rPr>
          <w:szCs w:val="28"/>
        </w:rPr>
        <w:t>мероприятий</w:t>
      </w:r>
      <w:r>
        <w:rPr>
          <w:bCs/>
          <w:szCs w:val="28"/>
        </w:rPr>
        <w:t xml:space="preserve">, подготовки и рассмотрения заключения КСО устанавливаются настоящим Стандартом исходя из требований Положения о бюджетном процессе в </w:t>
      </w:r>
      <w:r>
        <w:rPr>
          <w:bCs/>
          <w:szCs w:val="28"/>
          <w:rtl w:val="off"/>
        </w:rPr>
        <w:t>Александрово-Заводском</w:t>
      </w:r>
      <w:r>
        <w:rPr>
          <w:bCs/>
          <w:szCs w:val="28"/>
        </w:rPr>
        <w:t xml:space="preserve"> муниципальном округе, утвержденного </w:t>
      </w:r>
      <w:r>
        <w:rPr>
          <w:szCs w:val="28"/>
        </w:rPr>
        <w:t xml:space="preserve">Решением Совета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 xml:space="preserve">ского муниципального округа от </w:t>
      </w:r>
      <w:r>
        <w:rPr>
          <w:szCs w:val="28"/>
          <w:rtl w:val="off"/>
        </w:rPr>
        <w:t>10</w:t>
      </w:r>
      <w:r>
        <w:rPr>
          <w:szCs w:val="28"/>
        </w:rPr>
        <w:t xml:space="preserve"> </w:t>
      </w:r>
      <w:r>
        <w:rPr>
          <w:szCs w:val="28"/>
          <w:rtl w:val="off"/>
        </w:rPr>
        <w:t>октября</w:t>
      </w:r>
      <w:r>
        <w:rPr>
          <w:szCs w:val="28"/>
        </w:rPr>
        <w:t xml:space="preserve"> 202</w:t>
      </w:r>
      <w:r>
        <w:rPr>
          <w:szCs w:val="28"/>
          <w:rtl w:val="off"/>
        </w:rPr>
        <w:t>3</w:t>
      </w:r>
      <w:r>
        <w:rPr>
          <w:szCs w:val="28"/>
        </w:rPr>
        <w:t xml:space="preserve"> года №</w:t>
      </w:r>
      <w:r>
        <w:rPr>
          <w:szCs w:val="28"/>
          <w:rtl w:val="off"/>
        </w:rPr>
        <w:t xml:space="preserve"> 94</w:t>
      </w:r>
      <w:r>
        <w:rPr>
          <w:bCs/>
          <w:szCs w:val="28"/>
        </w:rPr>
        <w:t>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Организационные, правовые, информационные основы внешней проверки бюджетной отчетности и подготовки заключения Контрольно-счетного органа</w:t>
      </w:r>
    </w:p>
    <w:p>
      <w:pPr>
        <w:pStyle w:val="Default"/>
        <w:jc w:val="center"/>
        <w:rPr>
          <w:sz w:val="28"/>
          <w:szCs w:val="28"/>
        </w:rPr>
      </w:pPr>
    </w:p>
    <w:p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2.1. Цель внешней проверки бюджетной отчетности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внешней проверки бюджетной отчетности – анализ содержащейся в годовой бюджетной отчетности информации о бюджетной деятельности исполнительных органов, иных государственных органов и организаций, являющихся главными администраторами бюджетных средств. </w:t>
      </w:r>
    </w:p>
    <w:p>
      <w:pPr>
        <w:pStyle w:val="aff4"/>
        <w:jc w:val="left"/>
        <w:rPr>
          <w:bCs/>
          <w:szCs w:val="28"/>
        </w:rPr>
      </w:pPr>
      <w:r>
        <w:rPr>
          <w:bCs/>
          <w:szCs w:val="28"/>
        </w:rPr>
        <w:t>2.2. Задачи внешней проверки бюджетной отчетности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внешней проверки бюджетной отчетности являются: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Анализ исполнения местного бюджета за отчетный финансовый год в части: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объема и структуры поступивших доходов местного бюджета в разрезе кодов к</w:t>
      </w:r>
      <w:r>
        <w:rPr>
          <w:color w:val="auto"/>
          <w:sz w:val="28"/>
          <w:szCs w:val="28"/>
        </w:rPr>
        <w:t xml:space="preserve">лассификации доходов бюджетов Российской Федерации;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осуществленных расходов местного бюджета в разрезе разделов, подразделов, целевых статей и видов расходов классификации расходов бюджетов, кодов ведомственной структуры расходов местного бюджета;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объема и структуры источников финансирования дефицита местного бюджета.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Установление полноты и достоверности бюджетной отчетности главных администраторов бюджетных средств, годового отчета об исполнении бюджета.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Установление соответствия нормативным требованиям составления и предоставления бюджетной отчетности главными администраторами бюджетных средств, составления и предоставления годового отчета об исполнении местного бюджета.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sz w:val="28"/>
          <w:szCs w:val="28"/>
        </w:rPr>
        <w:t xml:space="preserve">Установление соответствия исполнения городского бюджета главными администраторами средств местного бюджета решению Совета </w:t>
      </w:r>
      <w:r>
        <w:rPr>
          <w:sz w:val="28"/>
          <w:szCs w:val="28"/>
          <w:rtl w:val="off"/>
        </w:rPr>
        <w:t>Александрово-Заводского</w:t>
      </w:r>
      <w:r>
        <w:rPr>
          <w:sz w:val="28"/>
          <w:szCs w:val="28"/>
        </w:rPr>
        <w:t xml:space="preserve"> муниципального округа о местном бюджете на отчетный финансовый год, положениям Бюджетного кодекса и иным нормативным правовым актам.</w:t>
      </w:r>
    </w:p>
    <w:p>
      <w:pPr>
        <w:pStyle w:val="aff4"/>
        <w:jc w:val="both"/>
        <w:rPr>
          <w:szCs w:val="28"/>
        </w:rPr>
      </w:pPr>
      <w:r>
        <w:rPr>
          <w:szCs w:val="28"/>
        </w:rPr>
        <w:t>5. Подготовка заключений КСО.</w:t>
      </w:r>
    </w:p>
    <w:p>
      <w:pPr>
        <w:adjustRightInd/>
        <w:autoSpaceDE w:val="off"/>
        <w:autoSpaceDN w:val="o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2.3. Объекты внешней проверки бюджетной отчетности</w:t>
      </w:r>
    </w:p>
    <w:p>
      <w:pPr>
        <w:adjustRightInd/>
        <w:ind w:firstLine="708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внешней проверки бюджетной отчетности являются главные администраторы бюджетных средств, финансовый орган и иные участники бюджетного процесса, если они получают, перечисляют и используют средства местного бюджета в соответствии с ведомственной структурой расходов городского бюджета. 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 Предмет внешней проверки бюджетной отчетности</w:t>
      </w:r>
    </w:p>
    <w:p>
      <w:pPr>
        <w:pStyle w:val="aff4"/>
        <w:ind w:firstLine="708"/>
        <w:jc w:val="both"/>
        <w:rPr>
          <w:lang w:eastAsia="en-US"/>
          <w:rFonts w:eastAsiaTheme="minorHAnsi"/>
          <w:color w:val="000000"/>
          <w:szCs w:val="28"/>
        </w:rPr>
      </w:pPr>
      <w:r>
        <w:rPr>
          <w:lang w:eastAsia="en-US"/>
          <w:rFonts w:eastAsiaTheme="minorHAnsi"/>
          <w:color w:val="000000"/>
          <w:szCs w:val="28"/>
        </w:rPr>
        <w:t xml:space="preserve">Предметом внешней проверки является бюджетная отчетность и иные документы, представленные в КСО в соответствии с требованиями нормативных правовых актов и по запросам КСО. </w:t>
      </w:r>
    </w:p>
    <w:p>
      <w:pPr>
        <w:adjustRightInd/>
        <w:autoSpaceDE w:val="off"/>
        <w:autoSpaceDN w:val="o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2.5. Правовые основы проведения внешней проверки бюджетной отчетности</w:t>
      </w:r>
    </w:p>
    <w:p>
      <w:pPr>
        <w:pStyle w:val="aff4"/>
        <w:ind w:firstLine="709"/>
        <w:widowControl w:val="off"/>
        <w:jc w:val="both"/>
        <w:rPr>
          <w:bCs/>
          <w:szCs w:val="28"/>
        </w:rPr>
      </w:pPr>
      <w:r>
        <w:rPr>
          <w:lang w:eastAsia="en-US"/>
          <w:rFonts w:eastAsiaTheme="minorHAnsi"/>
          <w:color w:val="000000"/>
          <w:szCs w:val="28"/>
        </w:rPr>
        <w:t xml:space="preserve">Правовой основой проведения внешней проверки бюджетной отчетности и </w:t>
      </w:r>
      <w:r>
        <w:rPr>
          <w:szCs w:val="28"/>
        </w:rPr>
        <w:t xml:space="preserve">подготовки заключений КСО являются законодательные акты Российской Федерации, Забайкальского края и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округа.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 Информационные основы проведения внешней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бюджетной отчетности</w:t>
      </w:r>
    </w:p>
    <w:p>
      <w:pPr>
        <w:pStyle w:val="aff4"/>
        <w:ind w:firstLine="720"/>
        <w:widowControl w:val="off"/>
        <w:jc w:val="both"/>
        <w:rPr>
          <w:bCs/>
          <w:szCs w:val="28"/>
        </w:rPr>
      </w:pPr>
      <w:r>
        <w:rPr>
          <w:bCs/>
          <w:szCs w:val="28"/>
        </w:rPr>
        <w:t xml:space="preserve">Информационной основой проведения внешней проверки являются: </w:t>
      </w:r>
    </w:p>
    <w:p>
      <w:pPr>
        <w:pStyle w:val="aff4"/>
        <w:ind w:firstLine="720"/>
        <w:widowControl w:val="off"/>
        <w:jc w:val="both"/>
        <w:rPr>
          <w:bCs/>
          <w:szCs w:val="28"/>
        </w:rPr>
      </w:pPr>
      <w:r>
        <w:rPr>
          <w:bCs/>
          <w:szCs w:val="28"/>
        </w:rPr>
        <w:t xml:space="preserve">1) законодательные акты, нормативные правовые акты Правительства Российской Федерации и федеральных органов исполнительной власти, органов власти Забайкальской области и </w:t>
      </w:r>
      <w:r>
        <w:rPr>
          <w:szCs w:val="28"/>
          <w:rtl w:val="off"/>
        </w:rPr>
        <w:t>Алекандрово-Завод</w:t>
      </w:r>
      <w:r>
        <w:rPr>
          <w:szCs w:val="28"/>
        </w:rPr>
        <w:t>ского муниципального округа</w:t>
      </w:r>
      <w:r>
        <w:rPr>
          <w:bCs/>
          <w:szCs w:val="28"/>
        </w:rPr>
        <w:t>, стандарты внешнего муниципального финансового контроля;</w:t>
      </w:r>
    </w:p>
    <w:p>
      <w:pPr>
        <w:pStyle w:val="aff4"/>
        <w:ind w:firstLine="709"/>
        <w:widowControl w:val="off"/>
        <w:jc w:val="both"/>
        <w:rPr>
          <w:szCs w:val="28"/>
        </w:rPr>
      </w:pPr>
      <w:r>
        <w:rPr>
          <w:szCs w:val="28"/>
        </w:rPr>
        <w:t xml:space="preserve"> 2) база данных КСО по контролю за исполнением краевого бюджета, включающая показатели: 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 xml:space="preserve">- решение Совета о бюджете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 на отчетный финансовый год и на плановый период;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утвержденной сводной бюджетной росписи и сводной бюджетной росписи с учетом изменений;</w:t>
      </w:r>
    </w:p>
    <w:p>
      <w:pPr>
        <w:pStyle w:val="a9"/>
        <w:ind w:firstLine="0"/>
        <w:widowControl w:val="off"/>
        <w:spacing w:line="240" w:lineRule="auto"/>
        <w:rPr>
          <w:szCs w:val="28"/>
        </w:rPr>
      </w:pPr>
      <w:r>
        <w:rPr>
          <w:szCs w:val="28"/>
        </w:rPr>
        <w:t>- отчета об исполнении краевого бюджета за отчетный финансовый год;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годовой бюджетной отчетности главных администраторов средств местного</w:t>
      </w:r>
      <w:r>
        <w:rPr>
          <w:szCs w:val="28"/>
          <w:snapToGrid w:val="0"/>
        </w:rPr>
        <w:t xml:space="preserve"> бюджета</w:t>
      </w:r>
      <w:r>
        <w:rPr>
          <w:szCs w:val="28"/>
        </w:rPr>
        <w:t xml:space="preserve"> и иных получателей бюджетных средств;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иных документов, характеризующих исполнение местного бюджета, в том числе данных оперативного контроля хода исполнения решения Совета о местном бюджете на отчетный финансовый год и на плановый период.</w:t>
      </w:r>
    </w:p>
    <w:p>
      <w:pPr>
        <w:ind w:firstLine="720"/>
        <w:widowControl w:val="off"/>
        <w:jc w:val="both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 бюджетной отчетности главного администратора средств местного</w:t>
      </w:r>
      <w:r>
        <w:rPr>
          <w:rFonts w:ascii="Times New Roman" w:hAnsi="Times New Roman" w:cs="Times New Roman"/>
          <w:sz w:val="28"/>
          <w:szCs w:val="28"/>
          <w:snapToGrid w:val="0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а в необходимых случаях, подведомственных ему учреждений.</w:t>
      </w:r>
    </w:p>
    <w:p>
      <w:pPr>
        <w:adjustRightInd/>
        <w:autoSpaceDE w:val="off"/>
        <w:autoSpaceDN w:val="o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>
      <w:pPr>
        <w:pStyle w:val="aff4"/>
        <w:widowControl w:val="off"/>
        <w:numPr>
          <w:ilvl w:val="0"/>
          <w:numId w:val="1"/>
        </w:numPr>
        <w:rPr>
          <w:b/>
          <w:szCs w:val="28"/>
        </w:rPr>
      </w:pPr>
      <w:r>
        <w:rPr>
          <w:b/>
          <w:bCs/>
          <w:szCs w:val="28"/>
        </w:rPr>
        <w:t xml:space="preserve">Основные этапы подготовки и проведения </w:t>
      </w:r>
      <w:r>
        <w:rPr>
          <w:b/>
          <w:szCs w:val="28"/>
        </w:rPr>
        <w:t>внешней проверки бюджетной отчетности</w:t>
      </w:r>
    </w:p>
    <w:p>
      <w:pPr>
        <w:pStyle w:val="aff4"/>
        <w:ind w:left="720"/>
        <w:widowControl w:val="off"/>
        <w:jc w:val="left"/>
        <w:rPr>
          <w:b/>
          <w:bCs/>
          <w:szCs w:val="28"/>
        </w:rPr>
      </w:pPr>
    </w:p>
    <w:p>
      <w:pPr>
        <w:pStyle w:val="aff8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 Подготовка </w:t>
      </w:r>
      <w:r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</w:t>
      </w:r>
      <w:r>
        <w:rPr>
          <w:rFonts w:ascii="Times New Roman" w:hAnsi="Times New Roman" w:cs="Times New Roman"/>
          <w:bCs/>
          <w:sz w:val="28"/>
          <w:szCs w:val="28"/>
        </w:rPr>
        <w:t>бъектов проведения внешних проверок</w:t>
      </w:r>
      <w:r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годовым планом работы КСО. </w:t>
      </w:r>
    </w:p>
    <w:p>
      <w:pPr>
        <w:pStyle w:val="aff4"/>
        <w:jc w:val="both"/>
        <w:rPr>
          <w:iCs/>
          <w:szCs w:val="28"/>
        </w:rPr>
      </w:pPr>
      <w:r>
        <w:rPr>
          <w:bCs/>
          <w:szCs w:val="28"/>
        </w:rPr>
        <w:t xml:space="preserve">3.2. Проведение внешней проверки бюджетной отчетности главных администраторов </w:t>
      </w:r>
      <w:r>
        <w:rPr>
          <w:szCs w:val="28"/>
          <w:snapToGrid w:val="0"/>
        </w:rPr>
        <w:t xml:space="preserve">бюджетных средств и </w:t>
      </w:r>
      <w:r>
        <w:rPr>
          <w:iCs/>
          <w:szCs w:val="28"/>
        </w:rPr>
        <w:t xml:space="preserve">годового отчета об исполнении местного бюджета </w:t>
      </w:r>
      <w:r>
        <w:rPr>
          <w:szCs w:val="28"/>
        </w:rPr>
        <w:t>за отчетный финансовый год</w:t>
      </w:r>
    </w:p>
    <w:p>
      <w:pPr>
        <w:pStyle w:val="aff4"/>
        <w:ind w:firstLine="709"/>
        <w:rPr>
          <w:b/>
          <w:szCs w:val="28"/>
          <w:snapToGrid w:val="0"/>
        </w:rPr>
      </w:pP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годового отчета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за отчетный финансовый год осуществляется в</w:t>
      </w:r>
      <w:r>
        <w:rPr>
          <w:lang w:val="en-US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форме камерального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Порядок проведения внешней проверки бюджетной отчетности главных администраторов бюджетных средств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Внешняя проверка</w:t>
      </w:r>
      <w:r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 осуществляется в период </w:t>
      </w:r>
      <w:r>
        <w:rPr>
          <w:rFonts w:ascii="Times New Roman" w:hAnsi="Times New Roman" w:cs="Times New Roman"/>
          <w:sz w:val="28"/>
          <w:szCs w:val="28"/>
          <w:highlight w:val="none"/>
        </w:rPr>
        <w:t>с 01 марта по 30 апреля год</w:t>
      </w:r>
      <w:r>
        <w:rPr>
          <w:rFonts w:ascii="Times New Roman" w:hAnsi="Times New Roman" w:cs="Times New Roman"/>
          <w:sz w:val="28"/>
          <w:szCs w:val="28"/>
        </w:rPr>
        <w:t>а, следующего за отчетным финансовым годом.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внешней проверки бюджетной отчетности главных администраторов бюджетных средств проводится анализ достоверности, полноты и соответствие нормативным требованиям составления и представления бюджетной отчетности главных администраторов бюджетных средств, устранения нарушений и недостатков по результатам проведенной внешней проверки в году, предшествующем отчетному году.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используются результаты контрольных и экспертно-аналитических мероприятий, проведенных КСО по отчетному периоду. </w:t>
      </w:r>
    </w:p>
    <w:p>
      <w:pPr>
        <w:pStyle w:val="a9"/>
        <w:ind w:firstLine="709"/>
        <w:spacing w:line="240" w:lineRule="auto"/>
        <w:rPr>
          <w:szCs w:val="28"/>
        </w:rPr>
      </w:pPr>
      <w:r>
        <w:rPr>
          <w:szCs w:val="28"/>
        </w:rPr>
        <w:t xml:space="preserve">Результаты внешней проверки оформляются заключением </w:t>
      </w:r>
      <w:r>
        <w:rPr>
          <w:szCs w:val="28"/>
        </w:rPr>
        <w:br/>
      </w:r>
      <w:r>
        <w:rPr>
          <w:szCs w:val="28"/>
        </w:rPr>
        <w:t xml:space="preserve">по результатам внешней проверки бюджетной отчетности главного администратора бюджетных средств. </w:t>
      </w:r>
    </w:p>
    <w:p>
      <w:pPr>
        <w:pStyle w:val="aff4"/>
        <w:ind w:firstLine="720"/>
        <w:widowControl w:val="off"/>
        <w:jc w:val="both"/>
        <w:rPr>
          <w:szCs w:val="28"/>
        </w:rPr>
      </w:pPr>
      <w:r>
        <w:rPr>
          <w:szCs w:val="28"/>
        </w:rPr>
        <w:t>Заключение по результатам внешней проверки бюджетной отчетности главного администратора бюджетных средств подписывается председателем Контрольно-счетного органа.</w:t>
      </w:r>
    </w:p>
    <w:p>
      <w:pPr>
        <w:pStyle w:val="a9"/>
        <w:ind w:firstLine="709"/>
        <w:spacing w:line="240" w:lineRule="auto"/>
        <w:rPr>
          <w:szCs w:val="28"/>
        </w:rPr>
      </w:pPr>
      <w:r>
        <w:rPr>
          <w:szCs w:val="28"/>
        </w:rPr>
        <w:t>Заключение по результатам внешней проверки бюджетной отчетности направляется в адрес соответствующего главного администратора бюджетных средств.</w:t>
      </w:r>
    </w:p>
    <w:p>
      <w:pPr>
        <w:pStyle w:val="aff4"/>
        <w:jc w:val="both"/>
        <w:rPr>
          <w:szCs w:val="28"/>
          <w:snapToGrid w:val="0"/>
        </w:rPr>
      </w:pPr>
      <w:r>
        <w:rPr>
          <w:szCs w:val="28"/>
        </w:rPr>
        <w:t>3.2.2. Порядок проведения внешней проверки</w:t>
      </w:r>
      <w:r>
        <w:rPr>
          <w:iCs/>
          <w:szCs w:val="28"/>
        </w:rPr>
        <w:t xml:space="preserve"> годового отчета об исполнении местного бюджета </w:t>
      </w:r>
      <w:r>
        <w:rPr>
          <w:szCs w:val="28"/>
        </w:rPr>
        <w:t>за отчетный финансовый год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местного бюджета за отчетный финансовый год осуществляется </w:t>
      </w:r>
      <w:r>
        <w:rPr>
          <w:rFonts w:ascii="Times New Roman" w:hAnsi="Times New Roman" w:cs="Times New Roman"/>
          <w:sz w:val="28"/>
          <w:szCs w:val="28"/>
          <w:snapToGrid w:val="0"/>
        </w:rPr>
        <w:t xml:space="preserve">специалистами КСО.  </w:t>
      </w:r>
    </w:p>
    <w:p>
      <w:pPr>
        <w:adjustRightInd/>
        <w:ind w:firstLine="709"/>
        <w:autoSpaceDE w:val="off"/>
        <w:autoSpaceDN w:val="off"/>
        <w:outlineLvl w:val="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местного бюджета проводится анализ информации об активах, обязательствах и операциях их изменяющих.</w:t>
      </w:r>
    </w:p>
    <w:p>
      <w:pPr>
        <w:adjustRightInd/>
        <w:ind w:firstLine="709"/>
        <w:autoSpaceDE w:val="off"/>
        <w:autoSpaceDN w:val="off"/>
        <w:outlineLvl w:val="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отчета об исполнении бюджета предусматривает оценку отчетных данных об исполнении бюджета по доходам, расходам и источникам финансирования дефицита бюджета и соответствия бюджетной классификации Российской Федерации.</w:t>
      </w:r>
    </w:p>
    <w:p>
      <w:pPr>
        <w:adjustRightInd/>
        <w:ind w:firstLine="709"/>
        <w:autoSpaceDE w:val="off"/>
        <w:autoSpaceDN w:val="off"/>
        <w:outlineLvl w:val="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баланса исполнения бюджета оцениваются данные о нефинансовых и финансовых активах, обязательствах муниципального округа на первый и последний день отчетного периода.</w:t>
      </w:r>
    </w:p>
    <w:p>
      <w:pPr>
        <w:pStyle w:val="HTML8"/>
        <w:ind w:firstLine="709"/>
        <w:jc w:val="both"/>
        <w:tabs>
          <w:tab w:val="left" w:pos="1440"/>
          <w:tab w:val="clear" w:pos="1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</w:t>
      </w:r>
    </w:p>
    <w:p>
      <w:pPr>
        <w:pStyle w:val="ac"/>
        <w:spacing w:line="240" w:lineRule="auto"/>
        <w:rPr>
          <w:szCs w:val="28"/>
        </w:rPr>
      </w:pPr>
    </w:p>
    <w:p>
      <w:pPr>
        <w:pStyle w:val="ac"/>
        <w:ind w:firstLine="0"/>
        <w:spacing w:line="240" w:lineRule="auto"/>
        <w:rPr>
          <w:szCs w:val="28"/>
        </w:rPr>
      </w:pPr>
      <w:r>
        <w:rPr>
          <w:szCs w:val="28"/>
        </w:rPr>
        <w:t xml:space="preserve">3.2.3. Формирование заключения КСО </w:t>
      </w:r>
      <w:r>
        <w:rPr>
          <w:iCs/>
          <w:szCs w:val="28"/>
        </w:rPr>
        <w:t xml:space="preserve">на годовой отчет об исполнении местного бюджета </w:t>
      </w:r>
      <w:r>
        <w:rPr>
          <w:szCs w:val="28"/>
        </w:rPr>
        <w:t>за отчетный финансовый год</w:t>
      </w:r>
    </w:p>
    <w:p>
      <w:pPr>
        <w:pStyle w:val="a9"/>
        <w:ind w:firstLine="709"/>
        <w:spacing w:line="240" w:lineRule="auto"/>
        <w:rPr>
          <w:szCs w:val="28"/>
        </w:rPr>
      </w:pPr>
      <w:r>
        <w:rPr>
          <w:szCs w:val="28"/>
        </w:rPr>
        <w:t xml:space="preserve">Результаты внешней проверки годового отчета об исполнении местного бюджета оформляются заключением, </w:t>
      </w:r>
      <w:r>
        <w:rPr>
          <w:szCs w:val="28"/>
          <w:highlight w:val="none"/>
        </w:rPr>
        <w:t xml:space="preserve">составляемым ответственными </w:t>
      </w:r>
      <w:r>
        <w:rPr>
          <w:szCs w:val="28"/>
          <w:highlight w:val="none"/>
          <w:rtl w:val="off"/>
        </w:rPr>
        <w:t>специалистами КСО</w:t>
      </w:r>
      <w:r>
        <w:rPr>
          <w:szCs w:val="28"/>
        </w:rPr>
        <w:t xml:space="preserve">.   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готовится с учетом данных внешней проверки годовой бюджетной отчетности главных администраторов бюджетных средств. 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заключения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Александрово-Заводского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в срок, установленный председателем КСО. 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подготовки заключения не может превышать </w:t>
      </w:r>
      <w:r>
        <w:rPr>
          <w:rFonts w:ascii="Times New Roman" w:hAnsi="Times New Roman" w:cs="Times New Roman"/>
          <w:bCs/>
          <w:sz w:val="28"/>
          <w:szCs w:val="28"/>
          <w:highlight w:val="none"/>
          <w:rtl w:val="off"/>
        </w:rPr>
        <w:t>один месяц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даты его поступления в КСО.</w:t>
      </w:r>
    </w:p>
    <w:p>
      <w:pPr>
        <w:pStyle w:val="aff4"/>
        <w:ind w:firstLine="709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При подготовке заключения КСО анализ исполнения местного бюджета проводится:</w:t>
      </w:r>
    </w:p>
    <w:p>
      <w:pPr>
        <w:pStyle w:val="aff4"/>
        <w:ind w:firstLine="709"/>
        <w:jc w:val="both"/>
        <w:tabs>
          <w:tab w:val="left" w:pos="426"/>
        </w:tabs>
        <w:rPr>
          <w:szCs w:val="28"/>
        </w:rPr>
      </w:pPr>
      <w:r>
        <w:rPr>
          <w:szCs w:val="28"/>
        </w:rPr>
        <w:t xml:space="preserve">- в разрезе кодов классификации доходов бюджетов Российской Федерации по группам, подгруппам, статьям и подстатьям местного бюджета </w:t>
      </w:r>
      <w:r>
        <w:rPr>
          <w:szCs w:val="28"/>
        </w:rPr>
        <w:br/>
      </w:r>
      <w:r>
        <w:rPr>
          <w:szCs w:val="28"/>
        </w:rPr>
        <w:t>и администраторов доходов;</w:t>
      </w:r>
    </w:p>
    <w:p>
      <w:pPr>
        <w:pStyle w:val="aff4"/>
        <w:ind w:firstLine="720"/>
        <w:widowControl w:val="off"/>
        <w:jc w:val="both"/>
        <w:rPr>
          <w:szCs w:val="28"/>
        </w:rPr>
      </w:pPr>
      <w:r>
        <w:rPr>
          <w:szCs w:val="28"/>
        </w:rPr>
        <w:t>- в разрезе кодов классификации расходов бюджетов и</w:t>
      </w:r>
      <w:r>
        <w:rPr>
          <w:lang w:val="en-US"/>
          <w:szCs w:val="28"/>
        </w:rPr>
        <w:t> </w:t>
      </w:r>
      <w:r>
        <w:rPr>
          <w:szCs w:val="28"/>
        </w:rPr>
        <w:t>главных распорядителей бюджетных средств, установленных на отчетный финансовый год соответствующими приложениями к решению Думы о городском бюджете на отчетный финансовый год;</w:t>
      </w:r>
    </w:p>
    <w:p>
      <w:pPr>
        <w:pStyle w:val="aff4"/>
        <w:ind w:firstLine="709"/>
        <w:jc w:val="both"/>
        <w:tabs>
          <w:tab w:val="left" w:pos="426"/>
        </w:tabs>
        <w:rPr>
          <w:szCs w:val="28"/>
        </w:rPr>
      </w:pPr>
      <w:r>
        <w:rPr>
          <w:szCs w:val="28"/>
        </w:rPr>
        <w:t xml:space="preserve">- в разрезе кодов классификации источников внутреннего финансирования дефицита местного бюджета, классификации видов государственного внутреннего долга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округа.</w:t>
      </w:r>
    </w:p>
    <w:p>
      <w:pPr>
        <w:pStyle w:val="aff4"/>
        <w:ind w:firstLine="709"/>
        <w:jc w:val="both"/>
        <w:tabs>
          <w:tab w:val="left" w:pos="426"/>
        </w:tabs>
        <w:rPr>
          <w:szCs w:val="28"/>
        </w:rPr>
      </w:pPr>
      <w:r>
        <w:rPr>
          <w:szCs w:val="28"/>
        </w:rPr>
        <w:t xml:space="preserve">Общая характеристика исполнения </w:t>
      </w:r>
      <w:r>
        <w:rPr>
          <w:iCs/>
          <w:szCs w:val="28"/>
        </w:rPr>
        <w:t>отчета об исполнении местного бюджета</w:t>
      </w:r>
      <w:r>
        <w:rPr>
          <w:szCs w:val="28"/>
        </w:rPr>
        <w:t xml:space="preserve"> включает в себя:</w:t>
      </w:r>
    </w:p>
    <w:p>
      <w:pPr>
        <w:pStyle w:val="a9"/>
        <w:ind w:firstLine="0"/>
        <w:widowControl w:val="off"/>
        <w:spacing w:line="240" w:lineRule="auto"/>
        <w:rPr>
          <w:szCs w:val="28"/>
        </w:rPr>
      </w:pPr>
      <w:r>
        <w:rPr>
          <w:szCs w:val="28"/>
        </w:rPr>
        <w:t xml:space="preserve">- анализ соответствия исполнения решения Совета о бюджете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>ского муниципального округа на отчетный финансовый год и отчета об исполнении местного бюджета за отчетный финансовый год;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анализ выявленных отклонений от показателей исполнения местного бюджета;</w:t>
      </w:r>
    </w:p>
    <w:p>
      <w:pPr>
        <w:pStyle w:val="aff4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- анализ реализации статей, содержащихся в решении Совета о местном бюджете на отчетный финансовый год;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анализ достижения целей и показателей результативности, установленных в</w:t>
      </w:r>
      <w:r>
        <w:rPr>
          <w:lang w:val="en-US"/>
          <w:szCs w:val="28"/>
        </w:rPr>
        <w:t> </w:t>
      </w:r>
      <w:r>
        <w:rPr>
          <w:szCs w:val="28"/>
        </w:rPr>
        <w:t>соответствующих нормативных правовых актах;</w:t>
      </w:r>
    </w:p>
    <w:p>
      <w:pPr>
        <w:pStyle w:val="aff4"/>
        <w:jc w:val="both"/>
        <w:tabs>
          <w:tab w:val="left" w:pos="426"/>
        </w:tabs>
        <w:rPr>
          <w:szCs w:val="28"/>
        </w:rPr>
      </w:pPr>
      <w:r>
        <w:rPr>
          <w:szCs w:val="28"/>
        </w:rPr>
        <w:t>- анализ соответствия исполнения решения Совета о местном бюджете на отчетный финансовый год нормам и положениям Бюджетного кодекса и иным нормативным правовым актам;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 xml:space="preserve">- анализ использования объемов выделенного финансирования и выполнения программных мероприятий;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степени финансовой устойчивости бюджета по итогам его исполнения (проводя оценку исполнения бюджета необходимо определить уровень сбалансированности бюджета, его устойчивости и дотационности, определяемой в соответствии со ст. 130 Бюджетного кодекса).</w:t>
      </w:r>
    </w:p>
    <w:p>
      <w:pPr>
        <w:pStyle w:val="aff4"/>
        <w:widowControl w:val="off"/>
        <w:jc w:val="both"/>
        <w:rPr>
          <w:szCs w:val="28"/>
        </w:rPr>
      </w:pPr>
      <w:r>
        <w:rPr>
          <w:bCs/>
          <w:szCs w:val="28"/>
        </w:rPr>
        <w:t xml:space="preserve">3.3. </w:t>
      </w:r>
      <w:r>
        <w:rPr>
          <w:szCs w:val="28"/>
        </w:rPr>
        <w:t>Основные положения заключения КСО по годовому отчету об исполнении местного бюджета за отчетный финансовый год</w:t>
      </w:r>
    </w:p>
    <w:p>
      <w:pPr>
        <w:pStyle w:val="aff4"/>
        <w:ind w:firstLine="720"/>
        <w:widowControl w:val="off"/>
        <w:jc w:val="both"/>
        <w:rPr>
          <w:szCs w:val="28"/>
        </w:rPr>
      </w:pPr>
      <w:r>
        <w:rPr>
          <w:szCs w:val="28"/>
        </w:rPr>
        <w:t>3.3.1. В текстовую часть заключения КСО включаются следующие основные положения: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информация о количестве проведенных внешних проверок бюджетной отчетности администраторов бюджетных средств и оформленных по их результатам заключений и иных контрольных мероприятий в течение отчетного финансового года;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соответствие отчета об исполнении местного бюджета за отчетный финансовый год, документов и материалов, представленных одновременно с ним требованиям Бюджетного кодекса;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>- общая характеристика исполнения местного бюджета;</w:t>
      </w:r>
    </w:p>
    <w:p>
      <w:pPr>
        <w:pStyle w:val="aff4"/>
        <w:widowControl w:val="off"/>
        <w:jc w:val="both"/>
        <w:rPr>
          <w:szCs w:val="28"/>
        </w:rPr>
      </w:pPr>
      <w:r>
        <w:rPr>
          <w:szCs w:val="28"/>
        </w:rPr>
        <w:t xml:space="preserve">- анализ организации исполнения решения Думы о местном бюджете на отчетный финансовый год и соответствия его исполнения Бюджетному кодексу и иным нормативным правовым актам РФ, Забайкальского края и </w:t>
      </w:r>
      <w:r>
        <w:rPr>
          <w:szCs w:val="28"/>
          <w:rtl w:val="off"/>
        </w:rPr>
        <w:t>Александрово-Заводского муниципального округа</w:t>
      </w:r>
      <w:r>
        <w:rPr>
          <w:szCs w:val="28"/>
        </w:rPr>
        <w:t>.</w:t>
      </w:r>
    </w:p>
    <w:p>
      <w:pPr>
        <w:pStyle w:val="aff4"/>
        <w:ind w:firstLine="720"/>
        <w:widowControl w:val="off"/>
        <w:jc w:val="both"/>
        <w:rPr>
          <w:szCs w:val="28"/>
        </w:rPr>
      </w:pPr>
      <w:r>
        <w:rPr>
          <w:szCs w:val="28"/>
        </w:rPr>
        <w:t>3.3.2. При подготовке выводов и предложений учитывается следующее.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 и достоверность годового отчета об исполнении бюджета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все факты неполноты и недостоверности, установленные в ходе проведения внешней проверки.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(несоблюдение) норм законодательства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выявленные факты нарушения законодательства, приводящих к недостоверности отчетности или иным формам ее искажения, а также выявленные факты нарушения текстовых норм и бюджетных назначений, установленных в решении о бюджете.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законодательства в части организации исполнения бюджета и</w:t>
      </w:r>
      <w:r>
        <w:rPr>
          <w:lang w:val="en-US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другого законодательства рассматривается в качестве условия соблюдения норм решения о бюджете, обеспечения результативности бюджетной деятельности и</w:t>
      </w:r>
      <w:r>
        <w:rPr>
          <w:lang w:val="en-US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достоверности бюджетной отчетности.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о результативности бюджетных расходов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если в бюджетной отчетности имеются данные о достижении формально установленных непосредственных результатах деятельности объектов контроля.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</w:t>
      </w:r>
      <w:r>
        <w:rPr>
          <w:lang w:val="en-US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оценке в ходе внешней проверки вследствие необходимости применения специальных форм и процедур контроля.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процента исполнения могут быть получены факты о степени эффективности (неэффективности) деятельности объектов контроля.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ff4"/>
        <w:ind w:firstLine="720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рассмотрения и подписание заключения Контрольно-счетного органа на отчет об исполнении местного бюджета за отчетный финансовый год, его представление в Совет </w:t>
      </w:r>
      <w:r>
        <w:rPr>
          <w:b/>
          <w:bCs/>
          <w:szCs w:val="28"/>
          <w:rtl w:val="off"/>
        </w:rPr>
        <w:t>Александрово-Завод</w:t>
      </w:r>
      <w:r>
        <w:rPr>
          <w:b/>
          <w:bCs/>
          <w:szCs w:val="28"/>
        </w:rPr>
        <w:t>ского муниципального округа</w:t>
      </w:r>
    </w:p>
    <w:p>
      <w:pPr>
        <w:pStyle w:val="aff4"/>
        <w:ind w:firstLine="720"/>
        <w:widowControl w:val="off"/>
        <w:rPr>
          <w:b/>
          <w:bCs/>
          <w:szCs w:val="28"/>
        </w:rPr>
      </w:pPr>
    </w:p>
    <w:p>
      <w:pPr>
        <w:pStyle w:val="aff4"/>
        <w:ind w:firstLine="720"/>
        <w:widowControl w:val="off"/>
        <w:jc w:val="both"/>
        <w:rPr>
          <w:szCs w:val="28"/>
        </w:rPr>
      </w:pPr>
      <w:r>
        <w:rPr>
          <w:szCs w:val="28"/>
        </w:rPr>
        <w:t>Заключение по результатам внешней проверки годового отчета об исполнении бюджета подписывается председателем Контрольно-счетного органа.</w:t>
      </w:r>
    </w:p>
    <w:p>
      <w:pPr>
        <w:pStyle w:val="ac"/>
        <w:spacing w:line="240" w:lineRule="auto"/>
        <w:rPr>
          <w:bCs/>
          <w:szCs w:val="28"/>
        </w:rPr>
      </w:pPr>
      <w:r>
        <w:rPr>
          <w:szCs w:val="28"/>
        </w:rPr>
        <w:t xml:space="preserve">Заключение направляется в Совет </w:t>
      </w:r>
      <w:r>
        <w:rPr>
          <w:szCs w:val="28"/>
          <w:rtl w:val="off"/>
        </w:rPr>
        <w:t>Александрово-Завод</w:t>
      </w:r>
      <w:r>
        <w:rPr>
          <w:szCs w:val="28"/>
        </w:rPr>
        <w:t xml:space="preserve">ского муниципального округа не позднее 01 мая </w:t>
      </w:r>
      <w:r>
        <w:rPr>
          <w:bCs/>
          <w:szCs w:val="28"/>
        </w:rPr>
        <w:t>года, следующего за отчетным финансовым годом.</w:t>
      </w:r>
    </w:p>
    <w:p>
      <w:pPr>
        <w:pStyle w:val="ac"/>
        <w:spacing w:line="240" w:lineRule="auto"/>
        <w:rPr>
          <w:bCs/>
          <w:szCs w:val="28"/>
        </w:rPr>
      </w:pPr>
    </w:p>
    <w:p>
      <w:pPr>
        <w:pStyle w:val="ac"/>
        <w:spacing w:line="240" w:lineRule="auto"/>
        <w:rPr>
          <w:bCs/>
          <w:szCs w:val="28"/>
        </w:rPr>
      </w:pPr>
    </w:p>
    <w:sectPr>
      <w:pgSz w:w="11906" w:h="16838" w:code="9"/>
      <w:pgMar w:top="851" w:right="1133" w:bottom="1134" w:left="1276" w:header="709" w:footer="709" w:gutter="0"/>
      <w:cols w:space="708"/>
      <w:docGrid w:linePitch="360"/>
      <w:head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d874678"/>
    <w:multiLevelType w:val="hybridMultilevel"/>
    <w:tmpl w:val="b32c4d76"/>
    <w:lvl w:ilvl="0" w:tplc="419000f">
      <w:start w:val="3"/>
      <w:lvlText w:val="%1."/>
      <w:lvlJc w:val="left"/>
      <w:pPr>
        <w:ind w:left="720" w:hanging="360"/>
      </w:pPr>
      <w:rPr>
        <w:rFonts w:hint="default"/>
      </w:r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c">
    <w:name w:val="Документ"/>
    <w:basedOn w:val="a1"/>
    <w:link w:val="Normal"/>
    <w:pPr>
      <w:ind w:firstLine="720"/>
      <w:jc w:val="both"/>
      <w:spacing w:after="0" w:line="360" w:lineRule="auto"/>
    </w:pPr>
    <w:rPr>
      <w:lang w:eastAsia="ru-RU"/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Письмо"/>
    <w:basedOn w:val="a1"/>
    <w:pPr>
      <w:ind w:firstLine="720"/>
      <w:jc w:val="both"/>
      <w:spacing w:after="0" w:line="360" w:lineRule="auto"/>
    </w:pPr>
    <w:rPr>
      <w:lang w:eastAsia="ru-RU"/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Body Text"/>
    <w:aliases w:val="Основной текст1,Основной текст Знак Знак,bt,body text,contents"/>
    <w:basedOn w:val="a1"/>
    <w:link w:val="Normal"/>
    <w:pPr>
      <w:jc w:val="center"/>
      <w:spacing w:after="0" w:line="240" w:lineRule="auto"/>
    </w:pPr>
    <w:rPr>
      <w:lang w:eastAsia="ru-RU"/>
      <w:rFonts w:ascii="Times New Roman" w:eastAsia="Times New Roman" w:hAnsi="Times New Roman" w:cs="Times New Roman"/>
      <w:sz w:val="28"/>
      <w:szCs w:val="24"/>
    </w:rPr>
  </w:style>
  <w:style w:type="paragraph" w:styleId="af8">
    <w:name w:val="header"/>
    <w:basedOn w:val="a1"/>
    <w:link w:val="Normal"/>
    <w:pPr>
      <w:tabs>
        <w:tab w:val="center" w:pos="4153"/>
        <w:tab w:val="right" w:pos="8306"/>
      </w:tabs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</w:style>
  <w:style w:type="paragraph" w:styleId="aff8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1"/>
    <w:link w:val="Normal"/>
    <w:unhideWhenUsed/>
    <w:pPr>
      <w:ind w:left="283"/>
      <w:spacing w:after="120"/>
    </w:pPr>
  </w:style>
  <w:style w:type="paragraph" w:styleId="HTML8">
    <w:name w:val="HTML Preformatted"/>
    <w:basedOn w:val="a1"/>
    <w:link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lang w:eastAsia="ru-RU"/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Счётная палата Красноярского края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/>
  <cp:revision>1</cp:revision>
  <dcterms:created xsi:type="dcterms:W3CDTF">2020-02-10T08:06:00Z</dcterms:created>
  <dcterms:modified xsi:type="dcterms:W3CDTF">2025-04-09T02:11:59Z</dcterms:modified>
  <cp:lastPrinted>2019-04-12T07:39:00Z</cp:lastPrinted>
  <cp:version>0900.0100.01</cp:version>
</cp:coreProperties>
</file>