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CA" w:rsidRPr="00DA432C" w:rsidRDefault="002656CA" w:rsidP="00DA432C">
      <w:pPr>
        <w:pStyle w:val="ConsPlusTitle"/>
        <w:widowControl/>
        <w:contextualSpacing/>
        <w:mirrorIndents/>
        <w:jc w:val="center"/>
        <w:outlineLvl w:val="0"/>
        <w:rPr>
          <w:bCs w:val="0"/>
        </w:rPr>
      </w:pPr>
      <w:bookmarkStart w:id="0" w:name="_GoBack"/>
      <w:bookmarkEnd w:id="0"/>
      <w:r w:rsidRPr="00DA432C">
        <w:rPr>
          <w:bCs w:val="0"/>
        </w:rPr>
        <w:t>АДМИНИСТРАЦИ</w:t>
      </w:r>
      <w:r w:rsidR="00DA432C" w:rsidRPr="00DA432C">
        <w:rPr>
          <w:bCs w:val="0"/>
        </w:rPr>
        <w:t>Я</w:t>
      </w:r>
    </w:p>
    <w:p w:rsidR="00DA432C" w:rsidRPr="00DA432C" w:rsidRDefault="00DA432C" w:rsidP="00DA432C">
      <w:pPr>
        <w:pStyle w:val="ConsPlusTitle"/>
        <w:widowControl/>
        <w:contextualSpacing/>
        <w:mirrorIndents/>
        <w:jc w:val="center"/>
        <w:outlineLvl w:val="0"/>
        <w:rPr>
          <w:bCs w:val="0"/>
        </w:rPr>
      </w:pPr>
      <w:r w:rsidRPr="00DA432C">
        <w:rPr>
          <w:bCs w:val="0"/>
        </w:rPr>
        <w:t xml:space="preserve">СЕЛЬСКОГО </w:t>
      </w:r>
      <w:r>
        <w:rPr>
          <w:bCs w:val="0"/>
        </w:rPr>
        <w:t>ПОСЕЛЕНИЯ «НИЖНЕИЛЬДИКАНСКОЕ»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«____»__</w:t>
      </w:r>
      <w:r w:rsidR="00EC304F">
        <w:rPr>
          <w:b w:val="0"/>
          <w:bCs w:val="0"/>
        </w:rPr>
        <w:t>____</w:t>
      </w:r>
      <w:r w:rsidRPr="00ED35D6">
        <w:rPr>
          <w:b w:val="0"/>
          <w:bCs w:val="0"/>
        </w:rPr>
        <w:t>____ 20</w:t>
      </w:r>
      <w:r w:rsidR="00EC304F" w:rsidRPr="00220CA5">
        <w:rPr>
          <w:b w:val="0"/>
          <w:bCs w:val="0"/>
        </w:rPr>
        <w:t>_</w:t>
      </w:r>
      <w:r w:rsidRPr="00ED35D6">
        <w:rPr>
          <w:b w:val="0"/>
          <w:bCs w:val="0"/>
        </w:rPr>
        <w:t>_</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656CA" w:rsidRPr="00ED35D6" w:rsidRDefault="002656CA" w:rsidP="004940CD">
      <w:pPr>
        <w:pStyle w:val="ConsPlusTitle"/>
        <w:widowControl/>
        <w:contextualSpacing/>
        <w:mirrorIndents/>
        <w:jc w:val="center"/>
        <w:rPr>
          <w:b w:val="0"/>
          <w:bCs w:val="0"/>
          <w:i/>
        </w:rPr>
      </w:pPr>
    </w:p>
    <w:p w:rsidR="002656CA" w:rsidRPr="00DA432C" w:rsidRDefault="00DA432C" w:rsidP="00DA432C">
      <w:pPr>
        <w:pStyle w:val="ConsPlusTitle"/>
        <w:widowControl/>
        <w:contextualSpacing/>
        <w:mirrorIndents/>
        <w:jc w:val="center"/>
        <w:rPr>
          <w:b w:val="0"/>
          <w:bCs w:val="0"/>
        </w:rPr>
      </w:pPr>
      <w:r>
        <w:rPr>
          <w:b w:val="0"/>
          <w:bCs w:val="0"/>
        </w:rPr>
        <w:t>село Нижний Ильдикан</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DA432C" w:rsidRDefault="002656CA" w:rsidP="004940CD">
      <w:pPr>
        <w:pStyle w:val="ConsPlusTitle"/>
        <w:widowControl/>
        <w:contextualSpacing/>
        <w:mirrorIndents/>
        <w:jc w:val="center"/>
        <w:rPr>
          <w:bCs w:val="0"/>
        </w:rPr>
      </w:pPr>
      <w:r w:rsidRPr="00ED35D6">
        <w:rPr>
          <w:bCs w:val="0"/>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DA432C">
        <w:rPr>
          <w:bCs w:val="0"/>
        </w:rPr>
        <w:t>сельского поселения «Нижнеильдиканское» муниципального района «Балейский район»</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DA432C">
        <w:rPr>
          <w:rFonts w:ascii="Times New Roman" w:hAnsi="Times New Roman"/>
          <w:sz w:val="28"/>
          <w:szCs w:val="28"/>
          <w:lang w:eastAsia="ru-RU"/>
        </w:rPr>
        <w:t xml:space="preserve"> сельского поселения «Нижнеильдиканское»</w:t>
      </w:r>
      <w:r w:rsidR="002C7167">
        <w:rPr>
          <w:rFonts w:ascii="Times New Roman" w:hAnsi="Times New Roman"/>
          <w:sz w:val="28"/>
          <w:szCs w:val="28"/>
          <w:lang w:eastAsia="ru-RU"/>
        </w:rPr>
        <w:t xml:space="preserve"> от 29.12.2012 года </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0"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осуществление земляных работ на территории </w:t>
      </w:r>
      <w:r w:rsidR="00DA432C" w:rsidRPr="00DA432C">
        <w:rPr>
          <w:rFonts w:ascii="Times New Roman" w:hAnsi="Times New Roman" w:cs="Times New Roman"/>
          <w:sz w:val="28"/>
          <w:szCs w:val="28"/>
        </w:rPr>
        <w:t>сельского поселения «Нижнеильдиканское» муниципального района «Балейский район»</w:t>
      </w:r>
      <w:r w:rsidR="00DA432C">
        <w:rPr>
          <w:rFonts w:ascii="Times New Roman" w:hAnsi="Times New Roman" w:cs="Times New Roman"/>
          <w:sz w:val="28"/>
          <w:szCs w:val="28"/>
        </w:rPr>
        <w:t>.</w:t>
      </w:r>
    </w:p>
    <w:p w:rsidR="00045AC6" w:rsidRPr="00045AC6" w:rsidRDefault="002656CA" w:rsidP="00045AC6">
      <w:pPr>
        <w:pStyle w:val="a3"/>
        <w:widowControl w:val="0"/>
        <w:numPr>
          <w:ilvl w:val="0"/>
          <w:numId w:val="18"/>
        </w:numPr>
        <w:tabs>
          <w:tab w:val="left" w:pos="180"/>
        </w:tabs>
        <w:autoSpaceDE w:val="0"/>
        <w:autoSpaceDN w:val="0"/>
        <w:adjustRightInd w:val="0"/>
        <w:spacing w:after="0" w:line="240" w:lineRule="auto"/>
        <w:jc w:val="both"/>
        <w:rPr>
          <w:rFonts w:ascii="Times New Roman" w:hAnsi="Times New Roman"/>
          <w:bCs/>
          <w:sz w:val="28"/>
          <w:szCs w:val="28"/>
        </w:rPr>
      </w:pPr>
      <w:r w:rsidRPr="00045AC6">
        <w:rPr>
          <w:rFonts w:ascii="Times New Roman" w:hAnsi="Times New Roman"/>
          <w:sz w:val="28"/>
          <w:szCs w:val="28"/>
        </w:rPr>
        <w:t>Признать утратившим силу</w:t>
      </w:r>
      <w:r w:rsidR="00045AC6">
        <w:rPr>
          <w:rFonts w:ascii="Times New Roman" w:hAnsi="Times New Roman"/>
          <w:sz w:val="28"/>
          <w:szCs w:val="28"/>
        </w:rPr>
        <w:t xml:space="preserve"> постановление администрации сельского поселения «Нижнеильдиканское» </w:t>
      </w:r>
      <w:r w:rsidR="00045AC6" w:rsidRPr="00045AC6">
        <w:rPr>
          <w:rFonts w:ascii="Times New Roman" w:hAnsi="Times New Roman"/>
          <w:color w:val="FF0000"/>
          <w:sz w:val="28"/>
          <w:szCs w:val="28"/>
        </w:rPr>
        <w:t xml:space="preserve"> </w:t>
      </w:r>
      <w:r w:rsidR="00045AC6" w:rsidRPr="00045AC6">
        <w:rPr>
          <w:rFonts w:ascii="Times New Roman" w:hAnsi="Times New Roman"/>
          <w:sz w:val="28"/>
          <w:szCs w:val="28"/>
        </w:rPr>
        <w:t>«</w:t>
      </w:r>
      <w:r w:rsidR="00045AC6" w:rsidRPr="00045AC6">
        <w:rPr>
          <w:rFonts w:ascii="Times New Roman" w:hAnsi="Times New Roman"/>
          <w:bCs/>
          <w:sz w:val="28"/>
          <w:szCs w:val="28"/>
        </w:rPr>
        <w:t>О</w:t>
      </w:r>
      <w:r w:rsidR="00045AC6">
        <w:rPr>
          <w:rFonts w:ascii="Times New Roman" w:hAnsi="Times New Roman"/>
          <w:bCs/>
          <w:sz w:val="28"/>
          <w:szCs w:val="28"/>
        </w:rPr>
        <w:t xml:space="preserve">б утверждении Административного </w:t>
      </w:r>
      <w:r w:rsidR="00045AC6" w:rsidRPr="00045AC6">
        <w:rPr>
          <w:rFonts w:ascii="Times New Roman" w:hAnsi="Times New Roman"/>
          <w:bCs/>
          <w:sz w:val="28"/>
          <w:szCs w:val="28"/>
        </w:rPr>
        <w:t xml:space="preserve">регламента администрации сельского поселения «Нижнеильдиканское» по предоставлению муниципальной услуги «Выдача ордеров на проведение </w:t>
      </w:r>
    </w:p>
    <w:p w:rsidR="00045AC6" w:rsidRPr="00045AC6" w:rsidRDefault="00045AC6" w:rsidP="00045AC6">
      <w:pPr>
        <w:widowControl w:val="0"/>
        <w:tabs>
          <w:tab w:val="left" w:pos="180"/>
        </w:tabs>
        <w:autoSpaceDE w:val="0"/>
        <w:autoSpaceDN w:val="0"/>
        <w:adjustRightInd w:val="0"/>
        <w:spacing w:after="0" w:line="240" w:lineRule="auto"/>
        <w:jc w:val="both"/>
        <w:rPr>
          <w:rFonts w:ascii="Times New Roman" w:hAnsi="Times New Roman"/>
          <w:bCs/>
          <w:sz w:val="28"/>
          <w:szCs w:val="28"/>
        </w:rPr>
      </w:pPr>
      <w:r w:rsidRPr="00045AC6">
        <w:rPr>
          <w:rFonts w:ascii="Times New Roman" w:hAnsi="Times New Roman"/>
          <w:bCs/>
          <w:sz w:val="28"/>
          <w:szCs w:val="28"/>
        </w:rPr>
        <w:t xml:space="preserve">земляных работ» </w:t>
      </w:r>
      <w:r>
        <w:rPr>
          <w:rFonts w:ascii="Times New Roman" w:hAnsi="Times New Roman"/>
          <w:bCs/>
          <w:sz w:val="28"/>
          <w:szCs w:val="28"/>
        </w:rPr>
        <w:t xml:space="preserve"> от 30.03.2012 года № 22.</w:t>
      </w:r>
    </w:p>
    <w:p w:rsidR="00045AC6" w:rsidRDefault="00045AC6" w:rsidP="004940CD">
      <w:pPr>
        <w:pStyle w:val="ConsPlusTitle"/>
        <w:widowControl/>
        <w:numPr>
          <w:ilvl w:val="0"/>
          <w:numId w:val="18"/>
        </w:numPr>
        <w:ind w:left="0" w:firstLine="567"/>
        <w:contextualSpacing/>
        <w:mirrorIndents/>
        <w:jc w:val="both"/>
        <w:rPr>
          <w:b w:val="0"/>
        </w:rPr>
      </w:pPr>
      <w:r>
        <w:rPr>
          <w:b w:val="0"/>
        </w:rPr>
        <w:t>Настоящее  постановление</w:t>
      </w:r>
      <w:r w:rsidRPr="00D2293F">
        <w:t xml:space="preserve"> </w:t>
      </w:r>
      <w:r w:rsidRPr="00045AC6">
        <w:rPr>
          <w:b w:val="0"/>
        </w:rPr>
        <w:t xml:space="preserve"> обнародовать</w:t>
      </w:r>
      <w:r>
        <w:t xml:space="preserve"> </w:t>
      </w:r>
      <w:r w:rsidRPr="00045AC6">
        <w:rPr>
          <w:b w:val="0"/>
        </w:rPr>
        <w:t>путем размещения в информационно - телекоммуникационной сети «Интернет» на официальном сайте муниципального района «Балейский район», на специально оборудованных информационных стендах в сельском поселении «Нижнеильдиканское».</w:t>
      </w:r>
    </w:p>
    <w:p w:rsidR="002656CA" w:rsidRPr="00045AC6" w:rsidRDefault="00EC304F" w:rsidP="004940CD">
      <w:pPr>
        <w:pStyle w:val="ConsPlusTitle"/>
        <w:widowControl/>
        <w:numPr>
          <w:ilvl w:val="0"/>
          <w:numId w:val="18"/>
        </w:numPr>
        <w:ind w:left="0" w:firstLine="567"/>
        <w:contextualSpacing/>
        <w:mirrorIndents/>
        <w:jc w:val="both"/>
        <w:rPr>
          <w:b w:val="0"/>
        </w:rPr>
      </w:pPr>
      <w:r w:rsidRPr="00045AC6">
        <w:rPr>
          <w:b w:val="0"/>
          <w:bCs w:val="0"/>
        </w:rPr>
        <w:t xml:space="preserve">Настоящее постановление вступает в </w:t>
      </w:r>
      <w:r w:rsidR="00045AC6">
        <w:rPr>
          <w:b w:val="0"/>
          <w:bCs w:val="0"/>
        </w:rPr>
        <w:t>силу на следующий день после  обнародования</w:t>
      </w:r>
      <w:r w:rsidRPr="00045AC6">
        <w:rPr>
          <w:b w:val="0"/>
          <w:bCs w:val="0"/>
        </w:rPr>
        <w:t>.</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DA432C" w:rsidRPr="005D6F0E" w:rsidRDefault="00EC304F" w:rsidP="00DA432C">
      <w:pPr>
        <w:spacing w:after="0" w:line="240" w:lineRule="auto"/>
        <w:outlineLvl w:val="0"/>
        <w:rPr>
          <w:rFonts w:ascii="Times New Roman" w:hAnsi="Times New Roman"/>
          <w:sz w:val="28"/>
          <w:szCs w:val="28"/>
        </w:rPr>
      </w:pPr>
      <w:r w:rsidRPr="00C902E0">
        <w:rPr>
          <w:rFonts w:ascii="Times New Roman" w:hAnsi="Times New Roman"/>
          <w:bCs/>
          <w:iCs/>
          <w:sz w:val="28"/>
          <w:szCs w:val="28"/>
        </w:rPr>
        <w:t>Глава</w:t>
      </w:r>
      <w:r w:rsidR="00DA432C">
        <w:rPr>
          <w:rFonts w:ascii="Times New Roman" w:hAnsi="Times New Roman"/>
          <w:color w:val="FF0000"/>
          <w:sz w:val="28"/>
          <w:szCs w:val="28"/>
        </w:rPr>
        <w:t xml:space="preserve"> </w:t>
      </w:r>
      <w:r w:rsidR="00DA432C" w:rsidRPr="005D6F0E">
        <w:rPr>
          <w:rFonts w:ascii="Times New Roman" w:hAnsi="Times New Roman"/>
          <w:sz w:val="28"/>
          <w:szCs w:val="28"/>
        </w:rPr>
        <w:t xml:space="preserve">сельского поселения </w:t>
      </w:r>
    </w:p>
    <w:p w:rsidR="00DA432C" w:rsidRPr="005D6F0E" w:rsidRDefault="00DA432C" w:rsidP="00DA432C">
      <w:pPr>
        <w:spacing w:after="0" w:line="240" w:lineRule="auto"/>
        <w:outlineLvl w:val="0"/>
        <w:rPr>
          <w:b/>
        </w:rPr>
      </w:pPr>
      <w:r w:rsidRPr="005D6F0E">
        <w:rPr>
          <w:rFonts w:ascii="Times New Roman" w:hAnsi="Times New Roman"/>
          <w:sz w:val="28"/>
          <w:szCs w:val="28"/>
        </w:rPr>
        <w:t>«Нижнеильдиканское»                                                  Е.В.Ушаков</w:t>
      </w:r>
    </w:p>
    <w:p w:rsidR="002656CA" w:rsidRPr="00ED35D6" w:rsidRDefault="00EC304F" w:rsidP="00EC304F">
      <w:pPr>
        <w:pStyle w:val="ConsPlusTitle"/>
        <w:widowControl/>
        <w:contextualSpacing/>
        <w:mirrorIndents/>
        <w:jc w:val="both"/>
      </w:pPr>
      <w:r w:rsidRPr="005358E4">
        <w:rPr>
          <w:b w:val="0"/>
          <w:i/>
          <w:color w:val="FF0000"/>
        </w:rPr>
        <w:tab/>
      </w:r>
      <w:r w:rsidRPr="005358E4">
        <w:rPr>
          <w:b w:val="0"/>
          <w:i/>
          <w:color w:val="FF0000"/>
        </w:rPr>
        <w:tab/>
      </w:r>
      <w:r w:rsidRPr="005358E4">
        <w:rPr>
          <w:b w:val="0"/>
          <w:i/>
          <w:color w:val="FF0000"/>
        </w:rPr>
        <w:tab/>
      </w:r>
      <w:r w:rsidRPr="005358E4">
        <w:rPr>
          <w:b w:val="0"/>
          <w:i/>
          <w:color w:val="FF0000"/>
        </w:rPr>
        <w:tab/>
      </w:r>
      <w:r w:rsidR="002656CA" w:rsidRPr="00ED35D6">
        <w:br w:type="page"/>
      </w:r>
    </w:p>
    <w:p w:rsidR="002656CA" w:rsidRPr="005D6F0E" w:rsidRDefault="002656CA" w:rsidP="00EC304F">
      <w:pPr>
        <w:pStyle w:val="ConsPlusNormal"/>
        <w:widowControl/>
        <w:ind w:left="6237" w:firstLine="0"/>
        <w:contextualSpacing/>
        <w:mirrorIndents/>
        <w:jc w:val="center"/>
        <w:outlineLvl w:val="0"/>
        <w:rPr>
          <w:rFonts w:ascii="Times New Roman" w:hAnsi="Times New Roman" w:cs="Times New Roman"/>
          <w:sz w:val="28"/>
          <w:szCs w:val="28"/>
        </w:rPr>
      </w:pPr>
      <w:r w:rsidRPr="005D6F0E">
        <w:rPr>
          <w:rFonts w:ascii="Times New Roman" w:hAnsi="Times New Roman" w:cs="Times New Roman"/>
          <w:sz w:val="28"/>
          <w:szCs w:val="28"/>
        </w:rPr>
        <w:lastRenderedPageBreak/>
        <w:t>УТВЕРЖДЕН</w:t>
      </w:r>
    </w:p>
    <w:p w:rsidR="002656CA" w:rsidRPr="005D6F0E"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5D6F0E">
        <w:rPr>
          <w:rFonts w:ascii="Times New Roman" w:hAnsi="Times New Roman" w:cs="Times New Roman"/>
          <w:sz w:val="28"/>
          <w:szCs w:val="28"/>
        </w:rPr>
        <w:t>постановлением администрации</w:t>
      </w:r>
    </w:p>
    <w:p w:rsidR="002656CA" w:rsidRPr="005D6F0E" w:rsidRDefault="005D6F0E" w:rsidP="004940CD">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сельского поселения «Нижнеильдиканское» от _________ 202</w:t>
      </w:r>
      <w:r w:rsidR="002656CA" w:rsidRPr="005D6F0E">
        <w:rPr>
          <w:rFonts w:ascii="Times New Roman" w:hAnsi="Times New Roman" w:cs="Times New Roman"/>
          <w:sz w:val="28"/>
          <w:szCs w:val="28"/>
        </w:rPr>
        <w:t>___г. № _____</w:t>
      </w:r>
    </w:p>
    <w:p w:rsidR="002656CA" w:rsidRPr="00ED35D6" w:rsidRDefault="002656CA" w:rsidP="004940CD">
      <w:pPr>
        <w:pStyle w:val="2"/>
        <w:spacing w:line="240" w:lineRule="auto"/>
        <w:contextualSpacing/>
        <w:mirrorIndents/>
        <w:rPr>
          <w:rFonts w:ascii="Times New Roman" w:hAnsi="Times New Roman"/>
          <w:sz w:val="32"/>
          <w:szCs w:val="32"/>
        </w:rPr>
      </w:pPr>
    </w:p>
    <w:p w:rsidR="002656CA" w:rsidRPr="005D6F0E"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r w:rsidR="005D6F0E">
        <w:rPr>
          <w:bCs w:val="0"/>
        </w:rPr>
        <w:t>сельского поселения «Нижнеильдиканское» муниципального района «Балейский район»</w:t>
      </w:r>
    </w:p>
    <w:p w:rsidR="002656CA" w:rsidRPr="00ED35D6" w:rsidRDefault="002656CA" w:rsidP="004940CD">
      <w:pPr>
        <w:pStyle w:val="ConsPlusTitle"/>
        <w:widowControl/>
        <w:ind w:firstLine="567"/>
        <w:contextualSpacing/>
        <w:mirrorIndents/>
        <w:jc w:val="center"/>
        <w:rPr>
          <w:bCs w:val="0"/>
        </w:rPr>
      </w:pPr>
      <w:bookmarkStart w:id="1" w:name="_Toc121134546"/>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w:t>
      </w:r>
      <w:r w:rsidR="005D6F0E">
        <w:rPr>
          <w:rFonts w:ascii="Times New Roman" w:hAnsi="Times New Roman" w:cs="Times New Roman"/>
          <w:sz w:val="28"/>
          <w:szCs w:val="28"/>
        </w:rPr>
        <w:t xml:space="preserve">итории </w:t>
      </w:r>
      <w:r w:rsidR="005D6F0E" w:rsidRPr="005D6F0E">
        <w:rPr>
          <w:rFonts w:ascii="Times New Roman" w:hAnsi="Times New Roman" w:cs="Times New Roman"/>
          <w:bCs/>
          <w:sz w:val="28"/>
          <w:szCs w:val="28"/>
        </w:rPr>
        <w:t>сельского поселения «Нижнеильдиканское» муниципального района «Балейский район»</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администрации</w:t>
      </w:r>
      <w:r w:rsidR="005D6F0E">
        <w:rPr>
          <w:color w:val="000000" w:themeColor="text1"/>
          <w:sz w:val="28"/>
          <w:szCs w:val="28"/>
        </w:rPr>
        <w:t xml:space="preserve"> </w:t>
      </w:r>
      <w:r w:rsidRPr="00EC304F">
        <w:rPr>
          <w:sz w:val="28"/>
          <w:szCs w:val="28"/>
        </w:rPr>
        <w:t>при непосредственном обращении заявителя</w:t>
      </w:r>
      <w:r w:rsidR="005D6F0E" w:rsidRPr="005D6F0E">
        <w:rPr>
          <w:bCs/>
        </w:rPr>
        <w:t xml:space="preserve"> </w:t>
      </w:r>
      <w:r w:rsidR="005D6F0E" w:rsidRPr="005D6F0E">
        <w:rPr>
          <w:bCs/>
          <w:sz w:val="28"/>
          <w:szCs w:val="28"/>
        </w:rPr>
        <w:t>сельского поселения «Нижнеильдиканское» муниципального района «Балейский район»</w:t>
      </w:r>
      <w:r w:rsidRPr="00EC304F">
        <w:rPr>
          <w:sz w:val="28"/>
          <w:szCs w:val="28"/>
        </w:rPr>
        <w:t xml:space="preserve"> или его представителя </w:t>
      </w:r>
      <w:r w:rsidRPr="00EC304F">
        <w:rPr>
          <w:color w:val="000000" w:themeColor="text1"/>
          <w:sz w:val="28"/>
          <w:szCs w:val="28"/>
        </w:rPr>
        <w:t>в администрацию</w:t>
      </w:r>
      <w:r w:rsidR="005D6F0E">
        <w:rPr>
          <w:color w:val="000000" w:themeColor="text1"/>
          <w:sz w:val="28"/>
          <w:szCs w:val="28"/>
        </w:rPr>
        <w:t xml:space="preserve"> </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themeColor="text1"/>
          <w:sz w:val="28"/>
          <w:szCs w:val="28"/>
        </w:rPr>
        <w:t>администрации</w:t>
      </w:r>
      <w:r w:rsidR="005D6F0E">
        <w:rPr>
          <w:color w:val="000000" w:themeColor="text1"/>
          <w:sz w:val="28"/>
          <w:szCs w:val="28"/>
        </w:rPr>
        <w:t xml:space="preserve"> </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на информационном стенде в помещении администрации</w:t>
      </w:r>
      <w:r w:rsidR="00434CBC">
        <w:rPr>
          <w:sz w:val="28"/>
          <w:szCs w:val="28"/>
        </w:rPr>
        <w:t xml:space="preserve"> сельского поселения «Нижнеильдиканское»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hyperlink r:id="rId11" w:history="1">
        <w:r w:rsidR="00434CBC" w:rsidRPr="00221BAC">
          <w:rPr>
            <w:color w:val="4F81BD" w:themeColor="accent1"/>
            <w:sz w:val="28"/>
            <w:szCs w:val="28"/>
            <w:u w:val="single"/>
          </w:rPr>
          <w:t>http://балей.забайкальскийкрай.рф/</w:t>
        </w:r>
      </w:hyperlink>
      <w:r w:rsidRPr="00EC304F">
        <w:rPr>
          <w:color w:val="000000" w:themeColor="text1"/>
          <w:sz w:val="28"/>
          <w:szCs w:val="28"/>
        </w:rPr>
        <w:t>,</w:t>
      </w:r>
      <w:r w:rsidRPr="00EC304F">
        <w:rPr>
          <w:sz w:val="28"/>
          <w:szCs w:val="28"/>
        </w:rPr>
        <w:t xml:space="preserve">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 предоставляется администрацией</w:t>
      </w:r>
      <w:r w:rsidR="00434CBC">
        <w:rPr>
          <w:rFonts w:ascii="Times New Roman" w:hAnsi="Times New Roman"/>
          <w:sz w:val="28"/>
          <w:szCs w:val="28"/>
          <w:lang w:eastAsia="ru-RU"/>
        </w:rPr>
        <w:t xml:space="preserve"> сельского поселения «Нижнеильдиканское»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434CBC">
        <w:rPr>
          <w:rFonts w:ascii="Times New Roman" w:hAnsi="Times New Roman"/>
          <w:sz w:val="28"/>
          <w:szCs w:val="28"/>
          <w:lang w:eastAsia="ru-RU"/>
        </w:rPr>
        <w:t>Уставом сельского поселения «Нижнеильдиканское»</w:t>
      </w:r>
      <w:r w:rsidRPr="004459B7">
        <w:rPr>
          <w:rFonts w:ascii="Times New Roman" w:hAnsi="Times New Roman"/>
          <w:sz w:val="28"/>
          <w:szCs w:val="28"/>
          <w:lang w:eastAsia="ru-RU"/>
        </w:rPr>
        <w:t>, принятым решением Со</w:t>
      </w:r>
      <w:r w:rsidR="00434CBC">
        <w:rPr>
          <w:rFonts w:ascii="Times New Roman" w:hAnsi="Times New Roman"/>
          <w:sz w:val="28"/>
          <w:szCs w:val="28"/>
          <w:lang w:eastAsia="ru-RU"/>
        </w:rPr>
        <w:t>вета сельского поселения «Нижнеильдиканское»</w:t>
      </w:r>
      <w:r w:rsidRPr="004459B7">
        <w:rPr>
          <w:rFonts w:ascii="Times New Roman" w:hAnsi="Times New Roman"/>
          <w:sz w:val="28"/>
          <w:szCs w:val="28"/>
          <w:lang w:eastAsia="ru-RU"/>
        </w:rPr>
        <w:t xml:space="preserve"> </w:t>
      </w:r>
      <w:r w:rsidR="00384AC9">
        <w:rPr>
          <w:rFonts w:ascii="Times New Roman" w:hAnsi="Times New Roman"/>
          <w:sz w:val="28"/>
          <w:szCs w:val="28"/>
          <w:lang w:eastAsia="ru-RU"/>
        </w:rPr>
        <w:t xml:space="preserve"> № 148 от 02.03.2018 года</w:t>
      </w:r>
      <w:r w:rsidRPr="004459B7">
        <w:rPr>
          <w:rFonts w:ascii="Times New Roman" w:hAnsi="Times New Roman"/>
          <w:sz w:val="28"/>
          <w:szCs w:val="28"/>
          <w:lang w:eastAsia="ru-RU"/>
        </w:rPr>
        <w:t>;</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384AC9">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При проведении аварийных земляных работ заявителем 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 xml:space="preserve">доставляются документы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lastRenderedPageBreak/>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6C0A0E" w:rsidRDefault="006C0A0E" w:rsidP="006C0A0E">
      <w:pPr>
        <w:pStyle w:val="7"/>
        <w:shd w:val="clear" w:color="auto" w:fill="auto"/>
        <w:tabs>
          <w:tab w:val="left" w:pos="1075"/>
        </w:tabs>
        <w:spacing w:line="240" w:lineRule="auto"/>
        <w:ind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6C0A0E">
        <w:rPr>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DF0154">
        <w:rPr>
          <w:sz w:val="28"/>
          <w:szCs w:val="28"/>
        </w:rPr>
        <w:lastRenderedPageBreak/>
        <w:t>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434CBC">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DF0154">
        <w:rPr>
          <w:sz w:val="28"/>
          <w:szCs w:val="28"/>
        </w:rPr>
        <w:lastRenderedPageBreak/>
        <w:t>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 xml:space="preserve">В случае если оригиналы документоввыданы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lastRenderedPageBreak/>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A4064">
        <w:rPr>
          <w:rFonts w:ascii="Times New Roman" w:hAnsi="Times New Roman"/>
          <w:sz w:val="28"/>
          <w:szCs w:val="28"/>
          <w:lang w:eastAsia="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4A4064">
        <w:rPr>
          <w:rFonts w:ascii="Times New Roman" w:hAnsi="Times New Roman"/>
          <w:sz w:val="28"/>
          <w:szCs w:val="28"/>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sidR="00923FD3">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F0154">
        <w:rPr>
          <w:sz w:val="28"/>
          <w:szCs w:val="28"/>
        </w:rPr>
        <w:lastRenderedPageBreak/>
        <w:t xml:space="preserve">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00434CBC">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4"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00434CBC">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F0154">
        <w:rPr>
          <w:sz w:val="28"/>
          <w:szCs w:val="28"/>
        </w:rPr>
        <w:lastRenderedPageBreak/>
        <w:t>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г.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(наименование организации, должность, ОГРН, юридический адрес организации,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Ф.И.О. заявителя, N телефона)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характер произведенных земляных работ</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адрес или адресные ориентиры,</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N кадастрового квартала)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благоустройства ознакомлен.</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sidR="00434CBC">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sidR="00434CBC">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Pr>
          <w:rStyle w:val="afc"/>
          <w:i w:val="0"/>
        </w:rPr>
        <w:t>_______________________________________________________________</w:t>
      </w:r>
    </w:p>
    <w:p w:rsidR="005B35C8" w:rsidRDefault="005B35C8" w:rsidP="005B35C8">
      <w:pPr>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sidR="00434CBC">
        <w:rPr>
          <w:rStyle w:val="afc"/>
          <w:i w:val="0"/>
        </w:rPr>
        <w:t xml:space="preserve"> </w:t>
      </w:r>
      <w:r w:rsidRPr="0006208C">
        <w:rPr>
          <w:rStyle w:val="afc"/>
          <w:i w:val="0"/>
        </w:rPr>
        <w:t>в досудебном порядке путем направления жалобы в орган, уполномоченный на</w:t>
      </w:r>
      <w:r w:rsidR="00434CBC">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sidR="00434CBC">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(подпись должностного лица органа,</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осуществляющего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434CBC" w:rsidRDefault="00566CE1" w:rsidP="004940CD">
      <w:pPr>
        <w:pStyle w:val="ae"/>
        <w:contextualSpacing/>
        <w:mirrorIndents/>
        <w:jc w:val="center"/>
        <w:rPr>
          <w:rFonts w:ascii="Times New Roman" w:hAnsi="Times New Roman"/>
          <w:bCs/>
          <w:i/>
        </w:rPr>
      </w:pPr>
      <w:r w:rsidRPr="00434CBC">
        <w:rPr>
          <w:rFonts w:ascii="Times New Roman" w:hAnsi="Times New Roman"/>
          <w:bCs/>
          <w:i/>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Проведение работ необходимо для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w:t>
      </w:r>
      <w:r w:rsidR="00641688">
        <w:rPr>
          <w:rFonts w:ascii="Times New Roman" w:hAnsi="Times New Roman"/>
          <w:sz w:val="28"/>
          <w:szCs w:val="28"/>
        </w:rPr>
        <w:t xml:space="preserve"> сельского поселения «Нижнеильдиканское» </w:t>
      </w:r>
      <w:r w:rsidRPr="008542F1">
        <w:rPr>
          <w:rFonts w:ascii="Times New Roman" w:hAnsi="Times New Roman"/>
          <w:sz w:val="28"/>
          <w:szCs w:val="28"/>
        </w:rPr>
        <w:t>в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*Восстановление нарушенного благоустройства гарантирую произвести в соответствии с «Правилами благоустройства территории</w:t>
      </w:r>
      <w:r w:rsidR="00641688">
        <w:rPr>
          <w:rFonts w:ascii="Times New Roman" w:hAnsi="Times New Roman"/>
          <w:sz w:val="28"/>
          <w:szCs w:val="28"/>
        </w:rPr>
        <w:t xml:space="preserve"> сельского поселения «Нижнеильдиканское» </w:t>
      </w:r>
      <w:r w:rsidRPr="008542F1">
        <w:rPr>
          <w:rFonts w:ascii="Times New Roman" w:hAnsi="Times New Roman"/>
          <w:sz w:val="28"/>
          <w:szCs w:val="28"/>
        </w:rPr>
        <w:t xml:space="preserve">в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Я согласен (согласна) на обработку моих персональных данных, содержащихся в заявлении.</w:t>
      </w:r>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г.</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4"/>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029" w:rsidRDefault="00521029" w:rsidP="00494FE9">
      <w:pPr>
        <w:spacing w:after="0" w:line="240" w:lineRule="auto"/>
      </w:pPr>
      <w:r>
        <w:separator/>
      </w:r>
    </w:p>
  </w:endnote>
  <w:endnote w:type="continuationSeparator" w:id="1">
    <w:p w:rsidR="00521029" w:rsidRDefault="00521029"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029" w:rsidRDefault="00521029" w:rsidP="00494FE9">
      <w:pPr>
        <w:spacing w:after="0" w:line="240" w:lineRule="auto"/>
      </w:pPr>
      <w:r>
        <w:separator/>
      </w:r>
    </w:p>
  </w:footnote>
  <w:footnote w:type="continuationSeparator" w:id="1">
    <w:p w:rsidR="00521029" w:rsidRDefault="00521029"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44DC"/>
    <w:rsid w:val="00016D0B"/>
    <w:rsid w:val="00022AB0"/>
    <w:rsid w:val="00023DBA"/>
    <w:rsid w:val="00025091"/>
    <w:rsid w:val="00031BE3"/>
    <w:rsid w:val="000348EF"/>
    <w:rsid w:val="00035FBB"/>
    <w:rsid w:val="0003631C"/>
    <w:rsid w:val="0003724D"/>
    <w:rsid w:val="00045AC6"/>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306F"/>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167"/>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AC9"/>
    <w:rsid w:val="00384C2E"/>
    <w:rsid w:val="003918A9"/>
    <w:rsid w:val="003970A0"/>
    <w:rsid w:val="003A17F8"/>
    <w:rsid w:val="003A40E8"/>
    <w:rsid w:val="003A545A"/>
    <w:rsid w:val="003A7687"/>
    <w:rsid w:val="003B3510"/>
    <w:rsid w:val="003B4990"/>
    <w:rsid w:val="003C2EE4"/>
    <w:rsid w:val="003C2F85"/>
    <w:rsid w:val="003D36E7"/>
    <w:rsid w:val="003E416A"/>
    <w:rsid w:val="003E52F5"/>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34C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B6E93"/>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1029"/>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876D2"/>
    <w:rsid w:val="00590677"/>
    <w:rsid w:val="00595786"/>
    <w:rsid w:val="005A1581"/>
    <w:rsid w:val="005A6147"/>
    <w:rsid w:val="005B35C8"/>
    <w:rsid w:val="005C10AC"/>
    <w:rsid w:val="005C1A26"/>
    <w:rsid w:val="005C272D"/>
    <w:rsid w:val="005D23DD"/>
    <w:rsid w:val="005D2BD0"/>
    <w:rsid w:val="005D2C9F"/>
    <w:rsid w:val="005D6F0E"/>
    <w:rsid w:val="005E02A3"/>
    <w:rsid w:val="005F265F"/>
    <w:rsid w:val="005F2EFA"/>
    <w:rsid w:val="005F7F60"/>
    <w:rsid w:val="006030EE"/>
    <w:rsid w:val="00604EED"/>
    <w:rsid w:val="006126B8"/>
    <w:rsid w:val="00612B72"/>
    <w:rsid w:val="00614487"/>
    <w:rsid w:val="00614DF6"/>
    <w:rsid w:val="00620537"/>
    <w:rsid w:val="00641688"/>
    <w:rsid w:val="00642446"/>
    <w:rsid w:val="00652820"/>
    <w:rsid w:val="00666B9A"/>
    <w:rsid w:val="006772B3"/>
    <w:rsid w:val="0068014A"/>
    <w:rsid w:val="0068360B"/>
    <w:rsid w:val="0068600C"/>
    <w:rsid w:val="00686563"/>
    <w:rsid w:val="006869F8"/>
    <w:rsid w:val="00687827"/>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6A91"/>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3FD3"/>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A432C"/>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 w:val="00FF4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72;&#1083;&#1077;&#1081;.&#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45DE-F93C-4568-B913-493CE20B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10306</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пк</cp:lastModifiedBy>
  <cp:revision>7</cp:revision>
  <cp:lastPrinted>2018-11-30T03:51:00Z</cp:lastPrinted>
  <dcterms:created xsi:type="dcterms:W3CDTF">2022-11-08T02:03:00Z</dcterms:created>
  <dcterms:modified xsi:type="dcterms:W3CDTF">2022-11-17T04:55:00Z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