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Продлены предельные сроки направления требований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 об уплате задолженности и принятия решений о взыскании задолженности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Helvetica" w:cs="Helvetica" w:hAnsi="Helvetica" w:eastAsia="Helvetica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Постановлением Правительства РФ от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29.03.2023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500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«О мерах по урегулированию задолженности по уплате налогов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сборов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страховых взносов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пеней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штрафов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процентов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установленных Налоговым кодексом Российской Федерации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t>году» регламентировано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что предусмотренные Налоговым кодексом Российской Федерации предельные сроки направления требований об уплате задолженности и принятия решений о взыскании задолженности увеличиваются на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6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месяцев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С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января по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30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июня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г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включительно пеня не начисляется на сумму недоимки в размере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не превышающем в соответствующий календарный день размер положительного сальдо единого налогового счета налогоплательщика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плательщика сборов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плательщика страховых взносов и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или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налогового агента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увеличенный на сумму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зачтенную в счет исполнения предстоящей обязанности по уплате конкретного налога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сбора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страховых взносов указанного лица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4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Помощник Балейского межрайонного прокурора Якимова С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С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